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D97706" w:sz="12"/>
          <w:left w:val="single" w:color="D97706" w:sz="12"/>
          <w:bottom w:val="single" w:color="D97706" w:sz="12"/>
          <w:right w:val="single" w:color="D97706" w:sz="12"/>
        </w:tblBorders>
        <w:tblCellMar>
          <w:top w:w="120" w:type="dxa"/>
          <w:left w:w="240" w:type="dxa"/>
          <w:bottom w:w="120" w:type="dxa"/>
          <w:right w:w="240" w:type="dxa"/>
        </w:tblCellMar>
      </w:tblPr>
      <w:tblGrid>
        <w:gridCol w:w="9746"/>
      </w:tblGrid>
      <w:tr>
        <w:tc>
          <w:tcPr>
            <w:tcW w:w="9746" w:type="dxa"/>
            <w:shd w:val="clear" w:color="auto" w:fill="FEF3C7"/>
          </w:tcPr>
          <w:p>
            <w:pPr>
              <w:spacing w:before="0" w:after="0"/>
            </w:pPr>
            <w:r>
              <w:rPr>
                <w:rFonts w:ascii="DM Sans" w:cs="DM Sans" w:eastAsia="DM Sans" w:hAnsi="DM Sans"/>
                <w:b/>
                <w:color w:val="92400E"/>
                <w:sz w:val="20"/>
                <w:szCs w:val="20"/>
              </w:rPr>
              <w:t xml:space="preserve">ILLUSTRATIVE EXAMPLE</w:t>
            </w:r>
            <w:r>
              <w:rPr>
                <w:rFonts w:ascii="DM Sans" w:cs="DM Sans" w:eastAsia="DM Sans" w:hAnsi="DM Sans"/>
                <w:color w:val="78350F"/>
                <w:sz w:val="20"/>
                <w:szCs w:val="20"/>
              </w:rPr>
              <w:t xml:space="preserve">  —  Northwind Advisory is a fictional organisation. Real reports are personalised to your business.</w:t>
            </w:r>
          </w:p>
        </w:tc>
      </w:tr>
    </w:tbl>
    <w:p>
      <w:pPr>
        <w:spacing w:before="0" w:after="0"/>
      </w:pPr>
    </w:p>
    <w:p>
      <w:pPr>
        <w:spacing w:after="480"/>
      </w:pPr>
      <w:r>
        <w:rPr>
          <w:rFonts w:ascii="Instrument Serif" w:cs="Instrument Serif" w:eastAsia="Instrument Serif" w:hAnsi="Instrument Serif"/>
          <w:b/>
          <w:bCs/>
          <w:color w:val="0F1B2D"/>
          <w:sz w:val="40"/>
          <w:szCs w:val="40"/>
        </w:rPr>
        <w:t xml:space="preserve">my</w:t>
      </w:r>
      <w:r>
        <w:rPr>
          <w:rFonts w:ascii="Instrument Serif" w:cs="Instrument Serif" w:eastAsia="Instrument Serif" w:hAnsi="Instrument Serif"/>
          <w:b/>
          <w:bCs/>
          <w:color w:val="1792D5"/>
          <w:sz w:val="40"/>
          <w:szCs w:val="40"/>
        </w:rPr>
        <w:t xml:space="preserve">AI</w:t>
      </w:r>
      <w:r>
        <w:rPr>
          <w:rFonts w:ascii="Instrument Serif" w:cs="Instrument Serif" w:eastAsia="Instrument Serif" w:hAnsi="Instrument Serif"/>
          <w:b/>
          <w:bCs/>
          <w:color w:val="0F1B2D"/>
          <w:sz w:val="40"/>
          <w:szCs w:val="40"/>
        </w:rPr>
        <w:t xml:space="preserve">strategy</w:t>
      </w:r>
    </w:p>
    <w:p>
      <w:pPr>
        <w:pBdr>
          <w:bottom w:val="single" w:color="E9ECEF" w:sz="1" w:space="1"/>
        </w:pBdr>
        <w:spacing w:after="320" w:before="320"/>
      </w:pPr>
    </w:p>
    <w:p>
      <w:pPr>
        <w:spacing w:after="960"/>
      </w:pPr>
    </w:p>
    <w:p>
      <w:pPr>
        <w:spacing w:after="960"/>
      </w:pPr>
    </w:p>
    <w:p>
      <w:pPr>
        <w:spacing w:after="160"/>
      </w:pPr>
      <w:r>
        <w:rPr>
          <w:rFonts w:ascii="DM Sans" w:cs="DM Sans" w:eastAsia="DM Sans" w:hAnsi="DM Sans"/>
          <w:b/>
          <w:bCs/>
          <w:color w:val="1792D5"/>
          <w:spacing w:val="60"/>
          <w:sz w:val="20"/>
          <w:szCs w:val="20"/>
        </w:rPr>
        <w:t xml:space="preserve">AI DISRUPTION ASSESSMENT</w:t>
      </w:r>
    </w:p>
    <w:p>
      <w:pPr>
        <w:spacing w:after="160" w:before="240"/>
      </w:pPr>
      <w:r>
        <w:rPr>
          <w:rFonts w:ascii="Instrument Serif" w:cs="Instrument Serif" w:eastAsia="Instrument Serif" w:hAnsi="Instrument Serif"/>
          <w:b/>
          <w:bCs/>
          <w:color w:val="0F1B2D"/>
          <w:sz w:val="68"/>
          <w:szCs w:val="68"/>
        </w:rPr>
        <w:t xml:space="preserve">AI Disruption Snapshot</w:t>
      </w:r>
    </w:p>
    <w:p>
      <w:pPr>
        <w:spacing w:after="80"/>
      </w:pPr>
      <w:r>
        <w:rPr>
          <w:rFonts w:ascii="Instrument Serif" w:cs="Instrument Serif" w:eastAsia="Instrument Serif" w:hAnsi="Instrument Serif"/>
          <w:color w:val="374151"/>
          <w:sz w:val="40"/>
          <w:szCs w:val="40"/>
        </w:rPr>
        <w:t xml:space="preserve">Northwind Advisory</w:t>
      </w:r>
    </w:p>
    <w:p>
      <w:pPr>
        <w:spacing w:after="800"/>
      </w:pPr>
      <w:r>
        <w:rPr>
          <w:rFonts w:ascii="DM Sans" w:cs="DM Sans" w:eastAsia="DM Sans" w:hAnsi="DM Sans"/>
          <w:color w:val="6B7280"/>
          <w:sz w:val="32"/>
          <w:szCs w:val="32"/>
        </w:rPr>
        <w:t xml:space="preserve">Professional, Scientific and Technical Services - Management Consulting Services</w:t>
      </w:r>
    </w:p>
    <w:tbl>
      <w:tblPr>
        <w:tblW w:type="pct" w:w="8%"/>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color="FFFFFF" w:sz="0"/>
              <w:left w:val="none" w:color="FFFFFF" w:sz="0"/>
              <w:bottom w:val="none" w:color="FFFFFF" w:sz="0"/>
              <w:right w:val="none" w:color="FFFFFF" w:sz="0"/>
            </w:tcBorders>
            <w:shd w:fill="1792D5" w:color="1792D5" w:val="solid"/>
          </w:tcPr>
          <w:p>
            <w:pPr>
              <w:spacing w:after="0" w:before="0"/>
            </w:pPr>
            <w:r>
              <w:rPr>
                <w:sz w:val="4"/>
                <w:szCs w:val="4"/>
              </w:rPr>
              <w:t xml:space="preserve"> </w:t>
            </w:r>
          </w:p>
        </w:tc>
      </w:tr>
    </w:tbl>
    <w:p>
      <w:pPr>
        <w:spacing w:after="800"/>
      </w:pPr>
    </w:p>
    <w:p>
      <w:pPr>
        <w:spacing w:after="160"/>
      </w:pPr>
      <w:r>
        <w:rPr>
          <w:rFonts w:ascii="DM Sans" w:cs="DM Sans" w:eastAsia="DM Sans" w:hAnsi="DM Sans"/>
          <w:color w:val="6B7280"/>
          <w:sz w:val="24"/>
          <w:szCs w:val="24"/>
        </w:rPr>
        <w:t xml:space="preserve">Prepared for Northwind Advisory leadership</w:t>
      </w:r>
    </w:p>
    <w:p>
      <w:pPr>
        <w:spacing w:after="160"/>
      </w:pPr>
      <w:r>
        <w:rPr>
          <w:rFonts w:ascii="DM Sans" w:cs="DM Sans" w:eastAsia="DM Sans" w:hAnsi="DM Sans"/>
          <w:color w:val="6B7280"/>
          <w:sz w:val="24"/>
          <w:szCs w:val="24"/>
        </w:rPr>
        <w:t xml:space="preserve">4 May 2026</w:t>
      </w:r>
    </w:p>
    <w:p>
      <w:pPr>
        <w:spacing w:after="960"/>
      </w:pPr>
    </w:p>
    <w:p>
      <w:pPr>
        <w:spacing w:after="960"/>
      </w:pPr>
    </w:p>
    <w:p>
      <w:pPr>
        <w:pBdr>
          <w:bottom w:val="single" w:color="E9ECEF" w:sz="1" w:space="1"/>
        </w:pBdr>
        <w:spacing w:after="320" w:before="320"/>
      </w:pPr>
    </w:p>
    <w:p>
      <w:pPr>
        <w:tabs>
          <w:tab w:val="right" w:pos="9026"/>
        </w:tabs>
      </w:pPr>
      <w:r>
        <w:rPr>
          <w:rFonts w:ascii="DM Sans" w:cs="DM Sans" w:eastAsia="DM Sans" w:hAnsi="DM Sans"/>
          <w:color w:val="9CA3AF"/>
          <w:spacing w:val="80"/>
          <w:sz w:val="18"/>
          <w:szCs w:val="18"/>
        </w:rPr>
        <w:t xml:space="preserve">CONFIDENTIAL</w:t>
      </w:r>
      <w:r>
        <w:rPr>
          <w:rFonts w:ascii="DM Sans" w:cs="DM Sans" w:eastAsia="DM Sans" w:hAnsi="DM Sans"/>
          <w:color w:val="9CA3AF"/>
          <w:sz w:val="18"/>
          <w:szCs w:val="18"/>
        </w:rPr>
        <w:tab/>
        <w:t xml:space="preserve">myaistrategy.com.au</w:t>
      </w:r>
    </w:p>
    <w:p>
      <w:pPr>
        <w:sectPr>
          <w:pgSz w:w="11906" w:h="16838" w:orient="portrait"/>
          <w:pgMar w:top="1080" w:right="1080" w:bottom="1440" w:left="1080" w:header="708" w:footer="708" w:gutter="0"/>
          <w:pgNumType/>
          <w:docGrid w:linePitch="360"/>
        </w:sectPr>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9ECEF" w:sz="1"/>
              <w:left w:val="single" w:color="E9ECEF" w:sz="1"/>
              <w:bottom w:val="single" w:color="E9ECEF" w:sz="1"/>
              <w:right w:val="single" w:color="E9ECEF" w:sz="1"/>
            </w:tcBorders>
            <w:shd w:fill="F8F9FA" w:color="F8F9FA" w:val="solid"/>
          </w:tcPr>
          <w:p>
            <w:pPr>
              <w:spacing w:after="160" w:before="320"/>
            </w:pPr>
            <w:r>
              <w:rPr>
                <w:rFonts w:ascii="Instrument Serif" w:cs="Instrument Serif" w:eastAsia="Instrument Serif" w:hAnsi="Instrument Serif"/>
                <w:b/>
                <w:bCs/>
                <w:color w:val="1A1F2E"/>
                <w:sz w:val="28"/>
                <w:szCs w:val="28"/>
              </w:rPr>
              <w:t xml:space="preserve">About This Document</w:t>
            </w:r>
          </w:p>
          <w:p>
            <w:pPr>
              <w:spacing w:after="160"/>
            </w:pPr>
            <w:r>
              <w:rPr>
                <w:rFonts w:ascii="DM Sans" w:cs="DM Sans" w:eastAsia="DM Sans" w:hAnsi="DM Sans"/>
                <w:color w:val="6B7280"/>
                <w:sz w:val="24"/>
                <w:szCs w:val="24"/>
              </w:rPr>
              <w:t xml:space="preserve">This AI Disruption Snapshot provides an independent assessment of how artificial intelligence is likely to affect Northwind Advisory's operations, competitive position, and strategic options over the next 12 to 36 months.</w:t>
            </w:r>
          </w:p>
          <w:p>
            <w:pPr>
              <w:spacing w:after="320"/>
            </w:pPr>
            <w:r>
              <w:rPr>
                <w:rFonts w:ascii="DM Sans" w:cs="DM Sans" w:eastAsia="DM Sans" w:hAnsi="DM Sans"/>
                <w:color w:val="6B7280"/>
                <w:sz w:val="24"/>
                <w:szCs w:val="24"/>
              </w:rPr>
              <w:t xml:space="preserve">The assessment was produced by myAIstrategy's AI-powered analysis platform, which combines automated website analysis, public data research (including financial filings, news, job postings, and competitor signals), and industry benchmarking to evaluate AI disruption exposure across eight weighted dimensions benchmarked against 19 Australian organisations.</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9ECEF" w:sz="1"/>
              <w:left w:val="single" w:color="E9ECEF" w:sz="1"/>
              <w:bottom w:val="single" w:color="E9ECEF" w:sz="1"/>
              <w:right w:val="single" w:color="E9ECEF" w:sz="1"/>
            </w:tcBorders>
            <w:shd w:fill="F8F9FA" w:color="F8F9FA" w:val="solid"/>
          </w:tcPr>
          <w:p>
            <w:pPr>
              <w:spacing w:after="160" w:before="320"/>
            </w:pPr>
            <w:r>
              <w:rPr>
                <w:rFonts w:ascii="Instrument Serif" w:cs="Instrument Serif" w:eastAsia="Instrument Serif" w:hAnsi="Instrument Serif"/>
                <w:b/>
                <w:bCs/>
                <w:color w:val="1A1F2E"/>
                <w:sz w:val="28"/>
                <w:szCs w:val="28"/>
              </w:rPr>
              <w:t xml:space="preserve">How the Score is Calculated</w:t>
            </w:r>
          </w:p>
          <w:p>
            <w:pPr>
              <w:spacing w:after="160"/>
            </w:pPr>
            <w:r>
              <w:rPr>
                <w:rFonts w:ascii="DM Sans" w:cs="DM Sans" w:eastAsia="DM Sans" w:hAnsi="DM Sans"/>
                <w:color w:val="6B7280"/>
                <w:sz w:val="24"/>
                <w:szCs w:val="24"/>
              </w:rPr>
              <w:t xml:space="preserve">The AI Disruption Score (0 to 100) measures how significantly AI is likely to reshape your organisation's operating environment. It is not a measure of AI readiness or maturity. It measures external disruption pressure.</w:t>
            </w:r>
          </w:p>
          <w:p>
            <w:pPr>
              <w:spacing w:after="320"/>
            </w:pPr>
            <w:r>
              <w:rPr>
                <w:rFonts w:ascii="DM Sans" w:cs="DM Sans" w:eastAsia="DM Sans" w:hAnsi="DM Sans"/>
                <w:color w:val="6B7280"/>
                <w:sz w:val="24"/>
                <w:szCs w:val="24"/>
              </w:rPr>
              <w:t xml:space="preserve">The score is calculated across eight weighted dimensions: workforce replaceability, AI-native displacement risk, digital vs physical business mix, market velocity, proprietary data advantage, switching costs, regulatory protection, and brand trust stakes.</w:t>
            </w:r>
          </w:p>
        </w:tc>
      </w:tr>
    </w:tbl>
    <w:p>
      <w:pPr>
        <w:spacing w:after="3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pct" w:w="16%"/>
            <w:tcBorders>
              <w:top w:val="none" w:color="FFFFFF" w:sz="0"/>
              <w:left w:val="none" w:color="FFFFFF" w:sz="0"/>
              <w:bottom w:val="single" w:color="4DABCF" w:sz="18"/>
              <w:right w:val="none" w:color="FFFFFF" w:sz="0"/>
            </w:tcBorders>
          </w:tcPr>
          <w:p>
            <w:pPr>
              <w:spacing w:after="160" w:before="160"/>
              <w:jc w:val="center"/>
            </w:pPr>
            <w:r>
              <w:rPr>
                <w:rFonts w:ascii="DM Sans" w:cs="DM Sans" w:eastAsia="DM Sans" w:hAnsi="DM Sans"/>
                <w:b/>
                <w:bCs/>
                <w:color w:val="4DABCF"/>
                <w:sz w:val="24"/>
                <w:szCs w:val="24"/>
              </w:rPr>
              <w:t xml:space="preserve">0-39</w:t>
            </w:r>
          </w:p>
          <w:p>
            <w:pPr>
              <w:spacing w:after="160"/>
              <w:jc w:val="center"/>
            </w:pPr>
            <w:r>
              <w:rPr>
                <w:rFonts w:ascii="DM Sans" w:cs="DM Sans" w:eastAsia="DM Sans" w:hAnsi="DM Sans"/>
                <w:color w:val="6B7280"/>
                <w:sz w:val="18"/>
                <w:szCs w:val="18"/>
              </w:rPr>
              <w:t xml:space="preserve">Low</w:t>
            </w:r>
          </w:p>
        </w:tc>
        <w:tc>
          <w:tcPr>
            <w:tcW w:type="pct" w:w="16%"/>
            <w:tcBorders>
              <w:top w:val="none" w:color="FFFFFF" w:sz="0"/>
              <w:left w:val="none" w:color="FFFFFF" w:sz="0"/>
              <w:bottom w:val="single" w:color="1792D5" w:sz="18"/>
              <w:right w:val="none" w:color="FFFFFF" w:sz="0"/>
            </w:tcBorders>
          </w:tcPr>
          <w:p>
            <w:pPr>
              <w:spacing w:after="160" w:before="160"/>
              <w:jc w:val="center"/>
            </w:pPr>
            <w:r>
              <w:rPr>
                <w:rFonts w:ascii="DM Sans" w:cs="DM Sans" w:eastAsia="DM Sans" w:hAnsi="DM Sans"/>
                <w:b/>
                <w:bCs/>
                <w:color w:val="1792D5"/>
                <w:sz w:val="24"/>
                <w:szCs w:val="24"/>
              </w:rPr>
              <w:t xml:space="preserve">40-54</w:t>
            </w:r>
          </w:p>
          <w:p>
            <w:pPr>
              <w:spacing w:after="160"/>
              <w:jc w:val="center"/>
            </w:pPr>
            <w:r>
              <w:rPr>
                <w:rFonts w:ascii="DM Sans" w:cs="DM Sans" w:eastAsia="DM Sans" w:hAnsi="DM Sans"/>
                <w:color w:val="6B7280"/>
                <w:sz w:val="18"/>
                <w:szCs w:val="18"/>
              </w:rPr>
              <w:t xml:space="preserve">Low-Moderate</w:t>
            </w:r>
          </w:p>
        </w:tc>
        <w:tc>
          <w:tcPr>
            <w:tcW w:type="pct" w:w="16%"/>
            <w:tcBorders>
              <w:top w:val="none" w:color="FFFFFF" w:sz="0"/>
              <w:left w:val="none" w:color="FFFFFF" w:sz="0"/>
              <w:bottom w:val="single" w:color="D4870E" w:sz="18"/>
              <w:right w:val="none" w:color="FFFFFF" w:sz="0"/>
            </w:tcBorders>
          </w:tcPr>
          <w:p>
            <w:pPr>
              <w:spacing w:after="160" w:before="160"/>
              <w:jc w:val="center"/>
            </w:pPr>
            <w:r>
              <w:rPr>
                <w:rFonts w:ascii="DM Sans" w:cs="DM Sans" w:eastAsia="DM Sans" w:hAnsi="DM Sans"/>
                <w:b/>
                <w:bCs/>
                <w:color w:val="D4870E"/>
                <w:sz w:val="24"/>
                <w:szCs w:val="24"/>
              </w:rPr>
              <w:t xml:space="preserve">55-64</w:t>
            </w:r>
          </w:p>
          <w:p>
            <w:pPr>
              <w:spacing w:after="160"/>
              <w:jc w:val="center"/>
            </w:pPr>
            <w:r>
              <w:rPr>
                <w:rFonts w:ascii="DM Sans" w:cs="DM Sans" w:eastAsia="DM Sans" w:hAnsi="DM Sans"/>
                <w:color w:val="6B7280"/>
                <w:sz w:val="18"/>
                <w:szCs w:val="18"/>
              </w:rPr>
              <w:t xml:space="preserve">Moderate</w:t>
            </w:r>
          </w:p>
        </w:tc>
        <w:tc>
          <w:tcPr>
            <w:tcW w:type="pct" w:w="16%"/>
            <w:tcBorders>
              <w:top w:val="none" w:color="FFFFFF" w:sz="0"/>
              <w:left w:val="none" w:color="FFFFFF" w:sz="0"/>
              <w:bottom w:val="single" w:color="C76A1E" w:sz="18"/>
              <w:right w:val="none" w:color="FFFFFF" w:sz="0"/>
            </w:tcBorders>
          </w:tcPr>
          <w:p>
            <w:pPr>
              <w:spacing w:after="160" w:before="160"/>
              <w:jc w:val="center"/>
            </w:pPr>
            <w:r>
              <w:rPr>
                <w:rFonts w:ascii="DM Sans" w:cs="DM Sans" w:eastAsia="DM Sans" w:hAnsi="DM Sans"/>
                <w:b/>
                <w:bCs/>
                <w:color w:val="C76A1E"/>
                <w:sz w:val="24"/>
                <w:szCs w:val="24"/>
              </w:rPr>
              <w:t xml:space="preserve">65-74</w:t>
            </w:r>
          </w:p>
          <w:p>
            <w:pPr>
              <w:spacing w:after="160"/>
              <w:jc w:val="center"/>
            </w:pPr>
            <w:r>
              <w:rPr>
                <w:rFonts w:ascii="DM Sans" w:cs="DM Sans" w:eastAsia="DM Sans" w:hAnsi="DM Sans"/>
                <w:color w:val="6B7280"/>
                <w:sz w:val="18"/>
                <w:szCs w:val="18"/>
              </w:rPr>
              <w:t xml:space="preserve">Significant</w:t>
            </w:r>
          </w:p>
        </w:tc>
        <w:tc>
          <w:tcPr>
            <w:tcW w:type="pct" w:w="16%"/>
            <w:tcBorders>
              <w:top w:val="none" w:color="FFFFFF" w:sz="0"/>
              <w:left w:val="none" w:color="FFFFFF" w:sz="0"/>
              <w:bottom w:val="single" w:color="C0392B" w:sz="18"/>
              <w:right w:val="none" w:color="FFFFFF" w:sz="0"/>
            </w:tcBorders>
          </w:tcPr>
          <w:p>
            <w:pPr>
              <w:spacing w:after="160" w:before="160"/>
              <w:jc w:val="center"/>
            </w:pPr>
            <w:r>
              <w:rPr>
                <w:rFonts w:ascii="DM Sans" w:cs="DM Sans" w:eastAsia="DM Sans" w:hAnsi="DM Sans"/>
                <w:b/>
                <w:bCs/>
                <w:color w:val="C0392B"/>
                <w:sz w:val="24"/>
                <w:szCs w:val="24"/>
              </w:rPr>
              <w:t xml:space="preserve">75-89</w:t>
            </w:r>
          </w:p>
          <w:p>
            <w:pPr>
              <w:spacing w:after="160"/>
              <w:jc w:val="center"/>
            </w:pPr>
            <w:r>
              <w:rPr>
                <w:rFonts w:ascii="DM Sans" w:cs="DM Sans" w:eastAsia="DM Sans" w:hAnsi="DM Sans"/>
                <w:color w:val="6B7280"/>
                <w:sz w:val="18"/>
                <w:szCs w:val="18"/>
              </w:rPr>
              <w:t xml:space="preserve">High Alert</w:t>
            </w:r>
          </w:p>
        </w:tc>
        <w:tc>
          <w:tcPr>
            <w:tcW w:type="pct" w:w="16%"/>
            <w:tcBorders>
              <w:top w:val="none" w:color="FFFFFF" w:sz="0"/>
              <w:left w:val="none" w:color="FFFFFF" w:sz="0"/>
              <w:bottom w:val="single" w:color="8B1A1A" w:sz="18"/>
              <w:right w:val="none" w:color="FFFFFF" w:sz="0"/>
            </w:tcBorders>
          </w:tcPr>
          <w:p>
            <w:pPr>
              <w:spacing w:after="160" w:before="160"/>
              <w:jc w:val="center"/>
            </w:pPr>
            <w:r>
              <w:rPr>
                <w:rFonts w:ascii="DM Sans" w:cs="DM Sans" w:eastAsia="DM Sans" w:hAnsi="DM Sans"/>
                <w:b/>
                <w:bCs/>
                <w:color w:val="8B1A1A"/>
                <w:sz w:val="24"/>
                <w:szCs w:val="24"/>
              </w:rPr>
              <w:t xml:space="preserve">90-100</w:t>
            </w:r>
          </w:p>
          <w:p>
            <w:pPr>
              <w:spacing w:after="160"/>
              <w:jc w:val="center"/>
            </w:pPr>
            <w:r>
              <w:rPr>
                <w:rFonts w:ascii="DM Sans" w:cs="DM Sans" w:eastAsia="DM Sans" w:hAnsi="DM Sans"/>
                <w:color w:val="6B7280"/>
                <w:sz w:val="18"/>
                <w:szCs w:val="18"/>
              </w:rPr>
              <w:t xml:space="preserve">Critical</w:t>
            </w:r>
          </w:p>
        </w:tc>
      </w:tr>
    </w:tbl>
    <w:p>
      <w:pPr>
        <w:spacing w:after="320"/>
      </w:pPr>
      <w:r>
        <w:rPr>
          <w:rFonts w:ascii="DM Sans" w:cs="DM Sans" w:eastAsia="DM Sans" w:hAnsi="DM Sans"/>
          <w:i/>
          <w:iCs/>
          <w:color w:val="9CA3AF"/>
          <w:sz w:val="20"/>
          <w:szCs w:val="20"/>
        </w:rPr>
        <w:t xml:space="preserve">For a detailed explanation of each score band and how the AI Disruption Score is calculated, see the Methodology appendix at the end of this document.</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single" w:color="E9ECEF" w:sz="1"/>
              <w:left w:val="single" w:color="E9ECEF" w:sz="1"/>
              <w:bottom w:val="single" w:color="E9ECEF" w:sz="1"/>
              <w:right w:val="single" w:color="E9ECEF" w:sz="1"/>
            </w:tcBorders>
            <w:vAlign w:val="center"/>
          </w:tcPr>
          <w:p>
            <w:pPr>
              <w:spacing w:after="0" w:before="400"/>
            </w:pPr>
            <w:r>
              <w:rPr>
                <w:rFonts w:ascii="Instrument Serif" w:cs="Instrument Serif" w:eastAsia="Instrument Serif" w:hAnsi="Instrument Serif"/>
                <w:b/>
                <w:bCs/>
                <w:color w:val="1792D5"/>
                <w:sz w:val="80"/>
                <w:szCs w:val="80"/>
              </w:rPr>
              <w:t xml:space="preserve">75</w:t>
            </w:r>
            <w:r>
              <w:rPr>
                <w:rFonts w:ascii="DM Sans" w:cs="DM Sans" w:eastAsia="DM Sans" w:hAnsi="DM Sans"/>
                <w:color w:val="9CA3AF"/>
                <w:sz w:val="24"/>
                <w:szCs w:val="24"/>
              </w:rPr>
              <w:t xml:space="preserve">/100</w:t>
            </w:r>
          </w:p>
          <w:p>
            <w:pPr>
              <w:spacing w:after="0" w:before="80"/>
            </w:pPr>
            <w:r>
              <w:rPr>
                <w:rFonts w:ascii="DM Sans" w:cs="DM Sans" w:eastAsia="DM Sans" w:hAnsi="DM Sans"/>
                <w:b/>
                <w:bCs/>
                <w:color w:val="9CA3AF"/>
                <w:spacing w:val="60"/>
                <w:sz w:val="18"/>
                <w:szCs w:val="18"/>
              </w:rPr>
              <w:t xml:space="preserve">AI DISRUPTION SCORE</w:t>
            </w:r>
          </w:p>
          <w:p>
            <w:pPr>
              <w:spacing w:after="400" w:before="80"/>
            </w:pPr>
            <w:r>
              <w:rPr>
                <w:rFonts w:ascii="DM Sans" w:cs="DM Sans" w:eastAsia="DM Sans" w:hAnsi="DM Sans"/>
                <w:color w:val="9CA3AF"/>
                <w:sz w:val="20"/>
                <w:szCs w:val="20"/>
              </w:rPr>
              <w:t xml:space="preserve">Benchmark median: 50/100 (Australian organisations)</w:t>
            </w:r>
          </w:p>
        </w:tc>
        <w:tc>
          <w:tcPr>
            <w:tcW w:type="pct" w:w="50%"/>
            <w:tcBorders>
              <w:top w:val="single" w:color="E9ECEF" w:sz="1"/>
              <w:left w:val="single" w:color="E9ECEF" w:sz="1"/>
              <w:bottom w:val="single" w:color="E9ECEF" w:sz="1"/>
              <w:right w:val="single" w:color="E9ECEF" w:sz="1"/>
            </w:tcBorders>
            <w:vAlign w:val="center"/>
          </w:tcPr>
          <w:p>
            <w:pPr>
              <w:spacing w:after="80" w:before="400"/>
            </w:pPr>
            <w:r>
              <w:rPr>
                <w:rFonts w:ascii="Instrument Serif" w:cs="Instrument Serif" w:eastAsia="Instrument Serif" w:hAnsi="Instrument Serif"/>
                <w:b/>
                <w:bCs/>
                <w:color w:val="1A1F2E"/>
                <w:sz w:val="40"/>
                <w:szCs w:val="40"/>
              </w:rPr>
              <w:t xml:space="preserve">High Alert Disruption Exposure</w:t>
            </w:r>
          </w:p>
          <w:p>
            <w:pPr>
              <w:spacing w:after="400"/>
            </w:pPr>
            <w:r>
              <w:rPr>
                <w:rFonts w:ascii="DM Sans" w:cs="DM Sans" w:eastAsia="DM Sans" w:hAnsi="DM Sans"/>
                <w:b/>
                <w:bCs/>
                <w:color w:val="9CA3AF"/>
                <w:spacing w:val="60"/>
                <w:sz w:val="18"/>
                <w:szCs w:val="18"/>
              </w:rPr>
              <w:t xml:space="preserve">EXPOSURE LEVEL</w:t>
            </w:r>
          </w:p>
        </w:tc>
      </w:tr>
    </w:tbl>
    <w:p>
      <w:pPr>
        <w:spacing w:after="32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1. Executive Summary</w:t>
      </w:r>
    </w:p>
    <w:p>
      <w:pPr>
        <w:spacing w:after="160"/>
      </w:pPr>
      <w:r>
        <w:rPr>
          <w:rFonts w:ascii="DM Sans" w:cs="DM Sans" w:eastAsia="DM Sans" w:hAnsi="DM Sans"/>
          <w:color w:val="374151"/>
          <w:sz w:val="24"/>
          <w:szCs w:val="24"/>
        </w:rPr>
        <w:t xml:space="preserve">Northwind Advisory faces a strategic inflection point that is more specific than general AI disruption: the firm's core revenue model — project fees for advisory engagements, including strategy development, market analysis, and operational reviews — is being compressed from two directions simultaneously. Generative AI tools including ChatGPT Enterprise, Claude, and Microsoft Copilot are already in active use by the executives Northwind Advisory targets, meaning prospective clients arrive at the pitch having already run their own AI-assisted analysis experiments. This is not an emerging risk; it is a present-day dynamic reshaping how Australia's advisory market defines firm value before a brief is even issued.</w:t>
      </w:r>
    </w:p>
    <w:p>
      <w:pPr>
        <w:spacing w:after="160"/>
      </w:pPr>
      <w:r>
        <w:rPr>
          <w:rFonts w:ascii="DM Sans" w:cs="DM Sans" w:eastAsia="DM Sans" w:hAnsi="DM Sans"/>
          <w:color w:val="374151"/>
          <w:sz w:val="24"/>
          <w:szCs w:val="24"/>
        </w:rPr>
        <w:t xml:space="preserve">Northwind Advisory's overall AI Disruption Score of 75/100 — High Alert — reflects the convergence of three imminent threats, all materialising within the 0–18 month window. The customer and competitive dimensions score highest (88/100 each), signalling that client expectation drift and AI-native competitive entrants represent the most acute pressure points. Platforms including AI-native consulting platforms, alongside emerging AI-native advisory firms, are configuring cost structures where the marginal cost per advisory deliverable approaches zero once the underlying model is established — a structural advantage that compounds each quarter as those entrants reinvest margin into faster iteration. Based on publicly available signals, this assessment did not identify evidence of widespread AI tool integration in Northwind Advisory's delivery or client-facing workflows, and the firm appears to be recruiting through a traditional permanent-hire model for analyst and consultant roles as recently as December 2025. The 2026–2029 period represents the steepest section of the generative AI capability S-curve, and the cost and capability gap between AI-augmented firms and those operating conventional workflows is likely to widen materially across that horizon. Peer firms — including Cresta Consulting, Lattice Advisory, and Hartwell Partners — show limited public AI adoption signals, which means the competitive window to establish a differentiated AI-augmented positioning in the Australian advisory segment remains genuinely open, but it is narrowing.</w:t>
      </w:r>
    </w:p>
    <w:p>
      <w:pPr>
        <w:spacing w:after="160"/>
      </w:pPr>
      <w:r>
        <w:rPr>
          <w:rFonts w:ascii="DM Sans" w:cs="DM Sans" w:eastAsia="DM Sans" w:hAnsi="DM Sans"/>
          <w:color w:val="374151"/>
          <w:sz w:val="24"/>
          <w:szCs w:val="24"/>
        </w:rPr>
        <w:t xml:space="preserve">Quantification of the financial impact requires internal data that is not publicly available for Northwind Advisory. What can be assessed from industry-level evidence is the order of magnitude: Jobs and Skills Australia (2025) identifies management consulting analyst roles as among the occupations most exposed to AI substitution within professional services, and PwC Australia's documented compression of an 18-month, 40-person project to a 90-day, six-person sprint using AI-equipped professionals illustrates that productivity transformation in this sector is client-facing and measurable, not merely internal. For an advisory firm whose new business pipeline depends on winning competitive pursuits, the more immediate risk is not revenue reduction from existing retainers — it is a shrinking pursuit funnel as prospective clients either self-serve with AI tools or gravitate toward firms that demonstrate AI-augmented workflows as a visible proof point during the pitch itself. The 12–18 month window before client expectation anchoring shifts permanently downward on engagement fees is the operative time pressure.</w:t>
      </w:r>
    </w:p>
    <w:p>
      <w:pPr>
        <w:spacing w:after="160"/>
      </w:pPr>
      <w:r>
        <w:rPr>
          <w:rFonts w:ascii="DM Sans" w:cs="DM Sans" w:eastAsia="DM Sans" w:hAnsi="DM Sans"/>
          <w:color w:val="374151"/>
          <w:sz w:val="24"/>
          <w:szCs w:val="24"/>
        </w:rPr>
        <w:t xml:space="preserve">Acting within the next three to six months, Northwind Advisory has a credible path to reposition as an AI-augmented advisory firm — one where human engagement directors provide strategic direction and judgement while AI tools handle analysis volume, iteration speed, and deliverable production. This repositioning does not require a wholesale operational rebuild; it requires deliberate tool adoption, a revised client-facing narrative, and an AI-assisted fast-track service tier that creates a new entry point for mid-market clients currently priced out of the full-service offer. Firms that establish this positioning first in the Australian advisory segment will be difficult to displace, because the trust and advisory relationship compounds over time. Waiting, by contrast, risks a gradual erosion of pursuit conversion rates and downward pressure on engagement fees as client expectations recalibrate around what AI-native competitors are already delivering — not as a sudden event, but as a slow, compounding shift in how the market prices advisory firm involvement.</w:t>
      </w: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2. AI Exposure by Dimension</w:t>
      </w:r>
    </w:p>
    <w:p>
      <w:pPr>
        <w:spacing w:after="160"/>
      </w:pPr>
      <w:r>
        <w:rPr>
          <w:rFonts w:ascii="DM Sans" w:cs="DM Sans" w:eastAsia="DM Sans" w:hAnsi="DM Sans"/>
          <w:color w:val="6B7280"/>
          <w:sz w:val="24"/>
          <w:szCs w:val="24"/>
        </w:rPr>
        <w:t xml:space="preserve">Each dimension measures a different facet of AI disruption pressure. Higher scores mean greater external pressure from AI.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Workforce Replaceability</w:t>
            </w:r>
            <w:r>
              <w:t xml:space="preserve">   </w:t>
            </w:r>
            <w:r>
              <w:rPr>
                <w:rFonts w:ascii="DM Sans" w:cs="DM Sans" w:eastAsia="DM Sans" w:hAnsi="DM Sans"/>
                <w:b/>
                <w:bCs/>
                <w:color w:val="C0392B"/>
                <w:sz w:val="18"/>
                <w:szCs w:val="18"/>
                <w:shd w:fill="FDF2F0" w:color="FDF2F0" w:val="solid"/>
              </w:rPr>
              <w:t xml:space="preserve"> 8/10 </w:t>
            </w:r>
            <w:r>
              <w:rPr>
                <w:rFonts w:ascii="DM Sans" w:cs="DM Sans" w:eastAsia="DM Sans" w:hAnsi="DM Sans"/>
                <w:color w:val="C0392B"/>
                <w:sz w:val="20"/>
                <w:szCs w:val="20"/>
              </w:rPr>
              <w:t xml:space="preserve">   Significant pressure</w:t>
            </w:r>
          </w:p>
          <w:p>
            <w:pPr>
              <w:spacing w:after="80"/>
            </w:pPr>
            <w:r>
              <w:rPr>
                <w:rFonts w:ascii="DM Sans" w:cs="DM Sans" w:eastAsia="DM Sans" w:hAnsi="DM Sans"/>
                <w:color w:val="374151"/>
                <w:sz w:val="24"/>
                <w:szCs w:val="24"/>
              </w:rPr>
              <w:t xml:space="preserve">Measures what proportion of Northwind Advisory's workforce performs tasks that AI can automate or augment — data entry, document processing, routine analysis, customer enquiries, scheduling, and other structured workflows. Higher scores indicate a greater share of roles with high automation exposure.</w:t>
            </w:r>
          </w:p>
          <w:p>
            <w:pPr>
              <w:spacing w:after="80"/>
            </w:pPr>
            <w:r>
              <w:rPr>
                <w:rFonts w:ascii="DM Sans" w:cs="DM Sans" w:eastAsia="DM Sans" w:hAnsi="DM Sans"/>
                <w:i/>
                <w:iCs/>
                <w:color w:val="6B7280"/>
                <w:sz w:val="20"/>
                <w:szCs w:val="20"/>
              </w:rPr>
              <w:t xml:space="preserve">For example, an insurance company processing tens of thousands of claims per month faces high replaceability as AI can handle initial assessment, documentation review, and routine approvals with minimal human oversight.</w:t>
            </w:r>
          </w:p>
          <w:p>
            <w:pPr>
              <w:spacing w:after="160"/>
            </w:pPr>
            <w:r>
              <w:rPr>
                <w:rFonts w:ascii="DM Sans" w:cs="DM Sans" w:eastAsia="DM Sans" w:hAnsi="DM Sans"/>
                <w:color w:val="9CA3AF"/>
                <w:sz w:val="18"/>
                <w:szCs w:val="18"/>
              </w:rPr>
              <w:t xml:space="preserve">Exposure · Weight: 1.5x · Contribution: 12pts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AI-Native Displacement Risk</w:t>
            </w:r>
            <w:r>
              <w:t xml:space="preserve">   </w:t>
            </w:r>
            <w:r>
              <w:rPr>
                <w:rFonts w:ascii="DM Sans" w:cs="DM Sans" w:eastAsia="DM Sans" w:hAnsi="DM Sans"/>
                <w:b/>
                <w:bCs/>
                <w:color w:val="C0392B"/>
                <w:sz w:val="18"/>
                <w:szCs w:val="18"/>
                <w:shd w:fill="FDF2F0" w:color="FDF2F0" w:val="solid"/>
              </w:rPr>
              <w:t xml:space="preserve"> 9/10 </w:t>
            </w:r>
            <w:r>
              <w:rPr>
                <w:rFonts w:ascii="DM Sans" w:cs="DM Sans" w:eastAsia="DM Sans" w:hAnsi="DM Sans"/>
                <w:color w:val="C0392B"/>
                <w:sz w:val="20"/>
                <w:szCs w:val="20"/>
              </w:rPr>
              <w:t xml:space="preserve">   Severe pressure</w:t>
            </w:r>
          </w:p>
          <w:p>
            <w:pPr>
              <w:spacing w:after="80"/>
            </w:pPr>
            <w:r>
              <w:rPr>
                <w:rFonts w:ascii="DM Sans" w:cs="DM Sans" w:eastAsia="DM Sans" w:hAnsi="DM Sans"/>
                <w:color w:val="374151"/>
                <w:sz w:val="24"/>
                <w:szCs w:val="24"/>
              </w:rPr>
              <w:t xml:space="preserve">Assesses the risk that AI-first entrants could deliver the same core value proposition at dramatically lower cost and with fewer people. This measures how vulnerable the business model is to disruption by lean, technology-native competitors who build AI into their operations from day one.</w:t>
            </w:r>
          </w:p>
          <w:p>
            <w:pPr>
              <w:spacing w:after="80"/>
            </w:pPr>
            <w:r>
              <w:rPr>
                <w:rFonts w:ascii="DM Sans" w:cs="DM Sans" w:eastAsia="DM Sans" w:hAnsi="DM Sans"/>
                <w:i/>
                <w:iCs/>
                <w:color w:val="6B7280"/>
                <w:sz w:val="20"/>
                <w:szCs w:val="20"/>
              </w:rPr>
              <w:t xml:space="preserve">For example, AI-powered consulting platforms can now generate strategy decks, market analysis, and due diligence reports at a fraction of the cost and time of traditional advisory firms, threatening businesses built on billable professional hours.</w:t>
            </w:r>
          </w:p>
          <w:p>
            <w:pPr>
              <w:spacing w:after="160"/>
            </w:pPr>
            <w:r>
              <w:rPr>
                <w:rFonts w:ascii="DM Sans" w:cs="DM Sans" w:eastAsia="DM Sans" w:hAnsi="DM Sans"/>
                <w:color w:val="9CA3AF"/>
                <w:sz w:val="18"/>
                <w:szCs w:val="18"/>
              </w:rPr>
              <w:t xml:space="preserve">Exposure · Weight: 1.5x · Contribution: 13.5pts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Digital vs Physical Mix</w:t>
            </w:r>
            <w:r>
              <w:t xml:space="preserve">   </w:t>
            </w:r>
            <w:r>
              <w:rPr>
                <w:rFonts w:ascii="DM Sans" w:cs="DM Sans" w:eastAsia="DM Sans" w:hAnsi="DM Sans"/>
                <w:b/>
                <w:bCs/>
                <w:color w:val="C0392B"/>
                <w:sz w:val="18"/>
                <w:szCs w:val="18"/>
                <w:shd w:fill="FDF2F0" w:color="FDF2F0" w:val="solid"/>
              </w:rPr>
              <w:t xml:space="preserve"> 9/10 </w:t>
            </w:r>
            <w:r>
              <w:rPr>
                <w:rFonts w:ascii="DM Sans" w:cs="DM Sans" w:eastAsia="DM Sans" w:hAnsi="DM Sans"/>
                <w:color w:val="C0392B"/>
                <w:sz w:val="20"/>
                <w:szCs w:val="20"/>
              </w:rPr>
              <w:t xml:space="preserve">   Severe pressure</w:t>
            </w:r>
          </w:p>
          <w:p>
            <w:pPr>
              <w:spacing w:after="80"/>
            </w:pPr>
            <w:r>
              <w:rPr>
                <w:rFonts w:ascii="DM Sans" w:cs="DM Sans" w:eastAsia="DM Sans" w:hAnsi="DM Sans"/>
                <w:color w:val="374151"/>
                <w:sz w:val="24"/>
                <w:szCs w:val="24"/>
              </w:rPr>
              <w:t xml:space="preserve">Evaluates how digital Northwind Advisory's core operations are. Organisations with primarily digital workflows (data processing, online services, digital communications) have significantly more surface area for AI disruption than those with physical operations (manufacturing, logistics, in-person services).</w:t>
            </w:r>
          </w:p>
          <w:p>
            <w:pPr>
              <w:spacing w:after="80"/>
            </w:pPr>
            <w:r>
              <w:rPr>
                <w:rFonts w:ascii="DM Sans" w:cs="DM Sans" w:eastAsia="DM Sans" w:hAnsi="DM Sans"/>
                <w:i/>
                <w:iCs/>
                <w:color w:val="6B7280"/>
                <w:sz w:val="20"/>
                <w:szCs w:val="20"/>
              </w:rPr>
              <w:t xml:space="preserve">A financial services firm operating entirely through digital platforms scores higher than a construction company — more of its value chain can be reimagined with AI.</w:t>
            </w:r>
          </w:p>
          <w:p>
            <w:pPr>
              <w:spacing w:after="160"/>
            </w:pPr>
            <w:r>
              <w:rPr>
                <w:rFonts w:ascii="DM Sans" w:cs="DM Sans" w:eastAsia="DM Sans" w:hAnsi="DM Sans"/>
                <w:color w:val="9CA3AF"/>
                <w:sz w:val="18"/>
                <w:szCs w:val="18"/>
              </w:rPr>
              <w:t xml:space="preserve">Exposure · Weight: 1x · Contribution: 9pts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Market Velocity</w:t>
            </w:r>
            <w:r>
              <w:t xml:space="preserve">   </w:t>
            </w:r>
            <w:r>
              <w:rPr>
                <w:rFonts w:ascii="DM Sans" w:cs="DM Sans" w:eastAsia="DM Sans" w:hAnsi="DM Sans"/>
                <w:b/>
                <w:bCs/>
                <w:color w:val="C0392B"/>
                <w:sz w:val="18"/>
                <w:szCs w:val="18"/>
                <w:shd w:fill="FDF2F0" w:color="FDF2F0" w:val="solid"/>
              </w:rPr>
              <w:t xml:space="preserve"> 9/10 </w:t>
            </w:r>
            <w:r>
              <w:rPr>
                <w:rFonts w:ascii="DM Sans" w:cs="DM Sans" w:eastAsia="DM Sans" w:hAnsi="DM Sans"/>
                <w:color w:val="C0392B"/>
                <w:sz w:val="20"/>
                <w:szCs w:val="20"/>
              </w:rPr>
              <w:t xml:space="preserve">   Severe pressure</w:t>
            </w:r>
          </w:p>
          <w:p>
            <w:pPr>
              <w:spacing w:after="80"/>
            </w:pPr>
            <w:r>
              <w:rPr>
                <w:rFonts w:ascii="DM Sans" w:cs="DM Sans" w:eastAsia="DM Sans" w:hAnsi="DM Sans"/>
                <w:color w:val="374151"/>
                <w:sz w:val="24"/>
                <w:szCs w:val="24"/>
              </w:rPr>
              <w:t xml:space="preserve">Measures how rapidly competitors and the broader market are adopting AI. In fast-moving sectors, delay is exponentially costly — each quarter of inaction allows competitors to compound their AI-driven advantages in cost, speed, and customer experience.</w:t>
            </w:r>
          </w:p>
          <w:p>
            <w:pPr>
              <w:spacing w:after="80"/>
            </w:pPr>
            <w:r>
              <w:rPr>
                <w:rFonts w:ascii="DM Sans" w:cs="DM Sans" w:eastAsia="DM Sans" w:hAnsi="DM Sans"/>
                <w:i/>
                <w:iCs/>
                <w:color w:val="6B7280"/>
                <w:sz w:val="20"/>
                <w:szCs w:val="20"/>
              </w:rPr>
              <w:t xml:space="preserve">Australian logistics and supply chain companies have rapidly adopted AI for route optimisation, demand forecasting, and warehouse automation in the past 12 months — setting a pace that pressures adjacent industries to keep up.</w:t>
            </w:r>
          </w:p>
          <w:p>
            <w:pPr>
              <w:spacing w:after="160"/>
            </w:pPr>
            <w:r>
              <w:rPr>
                <w:rFonts w:ascii="DM Sans" w:cs="DM Sans" w:eastAsia="DM Sans" w:hAnsi="DM Sans"/>
                <w:color w:val="9CA3AF"/>
                <w:sz w:val="18"/>
                <w:szCs w:val="18"/>
              </w:rPr>
              <w:t xml:space="preserve">Exposure · Weight: 1.5x · Contribution: 13.5pts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Proprietary Data Advantage</w:t>
            </w:r>
            <w:r>
              <w:t xml:space="preserve">   </w:t>
            </w:r>
            <w:r>
              <w:rPr>
                <w:rFonts w:ascii="DM Sans" w:cs="DM Sans" w:eastAsia="DM Sans" w:hAnsi="DM Sans"/>
                <w:b/>
                <w:bCs/>
                <w:color w:val="1792D5"/>
                <w:sz w:val="18"/>
                <w:szCs w:val="18"/>
                <w:shd w:fill="EBF4FD" w:color="EBF4FD" w:val="solid"/>
              </w:rPr>
              <w:t xml:space="preserve"> 2/10 </w:t>
            </w:r>
            <w:r>
              <w:rPr>
                <w:rFonts w:ascii="DM Sans" w:cs="DM Sans" w:eastAsia="DM Sans" w:hAnsi="DM Sans"/>
                <w:color w:val="1792D5"/>
                <w:sz w:val="20"/>
                <w:szCs w:val="20"/>
              </w:rPr>
              <w:t xml:space="preserve">   Low</w:t>
            </w:r>
          </w:p>
          <w:p>
            <w:pPr>
              <w:spacing w:after="80"/>
            </w:pPr>
            <w:r>
              <w:rPr>
                <w:rFonts w:ascii="DM Sans" w:cs="DM Sans" w:eastAsia="DM Sans" w:hAnsi="DM Sans"/>
                <w:color w:val="374151"/>
                <w:sz w:val="24"/>
                <w:szCs w:val="24"/>
              </w:rPr>
              <w:t xml:space="preserve">Assesses the value of Northwind Advisory's unique data assets that could power AI capabilities competitors cannot easily replicate. Organisations sitting on large, high-quality datasets specific to their domain have a significant AI opportunity — this data becomes the moat that protects against disruption.</w:t>
            </w:r>
          </w:p>
          <w:p>
            <w:pPr>
              <w:spacing w:after="80"/>
            </w:pPr>
            <w:r>
              <w:rPr>
                <w:rFonts w:ascii="DM Sans" w:cs="DM Sans" w:eastAsia="DM Sans" w:hAnsi="DM Sans"/>
                <w:i/>
                <w:iCs/>
                <w:color w:val="6B7280"/>
                <w:sz w:val="20"/>
                <w:szCs w:val="20"/>
              </w:rPr>
              <w:t xml:space="preserve">A major retailer with decades of loyalty programme data, purchasing patterns, and supply chain metrics has a proprietary dataset that could train AI models for demand prediction and personalisation no competitor can match.</w:t>
            </w:r>
          </w:p>
          <w:p>
            <w:pPr>
              <w:spacing w:after="160"/>
            </w:pPr>
            <w:r>
              <w:rPr>
                <w:rFonts w:ascii="DM Sans" w:cs="DM Sans" w:eastAsia="DM Sans" w:hAnsi="DM Sans"/>
                <w:color w:val="9CA3AF"/>
                <w:sz w:val="18"/>
                <w:szCs w:val="18"/>
              </w:rPr>
              <w:t xml:space="preserve">Opportunity · Weight: 1.5x · Contribution: 3pts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Switching Cost &amp; Lock-in</w:t>
            </w:r>
            <w:r>
              <w:t xml:space="preserve">   </w:t>
            </w:r>
            <w:r>
              <w:rPr>
                <w:rFonts w:ascii="DM Sans" w:cs="DM Sans" w:eastAsia="DM Sans" w:hAnsi="DM Sans"/>
                <w:b/>
                <w:bCs/>
                <w:color w:val="C0392B"/>
                <w:sz w:val="18"/>
                <w:szCs w:val="18"/>
                <w:shd w:fill="FDF2F0" w:color="FDF2F0" w:val="solid"/>
              </w:rPr>
              <w:t xml:space="preserve"> 8/10 </w:t>
            </w:r>
            <w:r>
              <w:rPr>
                <w:rFonts w:ascii="DM Sans" w:cs="DM Sans" w:eastAsia="DM Sans" w:hAnsi="DM Sans"/>
                <w:color w:val="C0392B"/>
                <w:sz w:val="20"/>
                <w:szCs w:val="20"/>
              </w:rPr>
              <w:t xml:space="preserve">   Significant pressure</w:t>
            </w:r>
          </w:p>
          <w:p>
            <w:pPr>
              <w:spacing w:after="80"/>
            </w:pPr>
            <w:r>
              <w:rPr>
                <w:rFonts w:ascii="DM Sans" w:cs="DM Sans" w:eastAsia="DM Sans" w:hAnsi="DM Sans"/>
                <w:color w:val="374151"/>
                <w:sz w:val="24"/>
                <w:szCs w:val="24"/>
              </w:rPr>
              <w:t xml:space="preserve">Measures how easily customers could leave for an AI-native alternative. Low switching costs mean customers can move quickly when a better AI-powered option appears. High switching costs (long-term contracts, data lock-in, regulatory barriers) provide a buffer against disruption but should not be mistaken for immunity.</w:t>
            </w:r>
          </w:p>
          <w:p>
            <w:pPr>
              <w:spacing w:after="80"/>
            </w:pPr>
            <w:r>
              <w:rPr>
                <w:rFonts w:ascii="DM Sans" w:cs="DM Sans" w:eastAsia="DM Sans" w:hAnsi="DM Sans"/>
                <w:i/>
                <w:iCs/>
                <w:color w:val="6B7280"/>
                <w:sz w:val="20"/>
                <w:szCs w:val="20"/>
              </w:rPr>
              <w:t xml:space="preserve">An enterprise deeply integrated with a legacy ERP system faces high switching costs (data migration, workflow retraining, contract lock-in) but AI-native alternatives with faster onboarding are steadily reducing these barriers.</w:t>
            </w:r>
          </w:p>
          <w:p>
            <w:pPr>
              <w:spacing w:after="160"/>
            </w:pPr>
            <w:r>
              <w:rPr>
                <w:rFonts w:ascii="DM Sans" w:cs="DM Sans" w:eastAsia="DM Sans" w:hAnsi="DM Sans"/>
                <w:color w:val="9CA3AF"/>
                <w:sz w:val="18"/>
                <w:szCs w:val="18"/>
              </w:rPr>
              <w:t xml:space="preserve">Defensibility · Weight: 1x · Contribution: 8pts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Regulatory Moat</w:t>
            </w:r>
            <w:r>
              <w:t xml:space="preserve">   </w:t>
            </w:r>
            <w:r>
              <w:rPr>
                <w:rFonts w:ascii="DM Sans" w:cs="DM Sans" w:eastAsia="DM Sans" w:hAnsi="DM Sans"/>
                <w:b/>
                <w:bCs/>
                <w:color w:val="C0392B"/>
                <w:sz w:val="18"/>
                <w:szCs w:val="18"/>
                <w:shd w:fill="FDF2F0" w:color="FDF2F0" w:val="solid"/>
              </w:rPr>
              <w:t xml:space="preserve"> 9/10 </w:t>
            </w:r>
            <w:r>
              <w:rPr>
                <w:rFonts w:ascii="DM Sans" w:cs="DM Sans" w:eastAsia="DM Sans" w:hAnsi="DM Sans"/>
                <w:color w:val="C0392B"/>
                <w:sz w:val="20"/>
                <w:szCs w:val="20"/>
              </w:rPr>
              <w:t xml:space="preserve">   Severe pressure</w:t>
            </w:r>
          </w:p>
          <w:p>
            <w:pPr>
              <w:spacing w:after="80"/>
            </w:pPr>
            <w:r>
              <w:rPr>
                <w:rFonts w:ascii="DM Sans" w:cs="DM Sans" w:eastAsia="DM Sans" w:hAnsi="DM Sans"/>
                <w:color w:val="374151"/>
                <w:sz w:val="24"/>
                <w:szCs w:val="24"/>
              </w:rPr>
              <w:t xml:space="preserve">Evaluates how much regulation protects the business from new AI-powered entrants. Heavily regulated industries (financial services, healthcare, education) have natural barriers that slow AI-native disruption, but regulation also slows the incumbent's own AI adoption. A high score means less regulatory protection.</w:t>
            </w:r>
          </w:p>
          <w:p>
            <w:pPr>
              <w:spacing w:after="80"/>
            </w:pPr>
            <w:r>
              <w:rPr>
                <w:rFonts w:ascii="DM Sans" w:cs="DM Sans" w:eastAsia="DM Sans" w:hAnsi="DM Sans"/>
                <w:i/>
                <w:iCs/>
                <w:color w:val="6B7280"/>
                <w:sz w:val="20"/>
                <w:szCs w:val="20"/>
              </w:rPr>
              <w:t xml:space="preserve">APRA-regulated entities benefit from compliance barriers that deter new entrants, but these same regulations can constrain the speed of AI deployment within the organisation.</w:t>
            </w:r>
          </w:p>
          <w:p>
            <w:pPr>
              <w:spacing w:after="160"/>
            </w:pPr>
            <w:r>
              <w:rPr>
                <w:rFonts w:ascii="DM Sans" w:cs="DM Sans" w:eastAsia="DM Sans" w:hAnsi="DM Sans"/>
                <w:color w:val="9CA3AF"/>
                <w:sz w:val="18"/>
                <w:szCs w:val="18"/>
              </w:rPr>
              <w:t xml:space="preserve">Defensibility · Weight: 1x · Contribution: 9pts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F1B2D"/>
                <w:sz w:val="26"/>
                <w:szCs w:val="26"/>
              </w:rPr>
              <w:t xml:space="preserve">Brand &amp; Trust Stakes</w:t>
            </w:r>
            <w:r>
              <w:t xml:space="preserve">   </w:t>
            </w:r>
            <w:r>
              <w:rPr>
                <w:rFonts w:ascii="DM Sans" w:cs="DM Sans" w:eastAsia="DM Sans" w:hAnsi="DM Sans"/>
                <w:b/>
                <w:bCs/>
                <w:color w:val="D4870E"/>
                <w:sz w:val="18"/>
                <w:szCs w:val="18"/>
                <w:shd w:fill="FEF7E8" w:color="FEF7E8" w:val="solid"/>
              </w:rPr>
              <w:t xml:space="preserve"> 7/10 </w:t>
            </w:r>
            <w:r>
              <w:rPr>
                <w:rFonts w:ascii="DM Sans" w:cs="DM Sans" w:eastAsia="DM Sans" w:hAnsi="DM Sans"/>
                <w:color w:val="D4870E"/>
                <w:sz w:val="20"/>
                <w:szCs w:val="20"/>
              </w:rPr>
              <w:t xml:space="preserve">   Significant</w:t>
            </w:r>
          </w:p>
          <w:p>
            <w:pPr>
              <w:spacing w:after="80"/>
            </w:pPr>
            <w:r>
              <w:rPr>
                <w:rFonts w:ascii="DM Sans" w:cs="DM Sans" w:eastAsia="DM Sans" w:hAnsi="DM Sans"/>
                <w:color w:val="374151"/>
                <w:sz w:val="24"/>
                <w:szCs w:val="24"/>
              </w:rPr>
              <w:t xml:space="preserve">Measures how much Northwind Advisory depends on human trust, firm reputation, and relationship-based value that AI cannot easily replicate. Industries where trust is paramount (financial advice, healthcare, legal) retain some natural defence against AI disruption — but this defence erodes as AI systems demonstrate competence.</w:t>
            </w:r>
          </w:p>
          <w:p>
            <w:pPr>
              <w:spacing w:after="80"/>
            </w:pPr>
            <w:r>
              <w:rPr>
                <w:rFonts w:ascii="DM Sans" w:cs="DM Sans" w:eastAsia="DM Sans" w:hAnsi="DM Sans"/>
                <w:i/>
                <w:iCs/>
                <w:color w:val="6B7280"/>
                <w:sz w:val="20"/>
                <w:szCs w:val="20"/>
              </w:rPr>
              <w:t xml:space="preserve">Clients trust their law firm or financial adviser with sensitive personal and commercial matters — a deeply relationship-driven engagement. This trust is hard for AI-native entrants to replicate, but it can be undermined by slow service and poor digital experiences.</w:t>
            </w:r>
          </w:p>
          <w:p>
            <w:pPr>
              <w:spacing w:after="160"/>
            </w:pPr>
            <w:r>
              <w:rPr>
                <w:rFonts w:ascii="DM Sans" w:cs="DM Sans" w:eastAsia="DM Sans" w:hAnsi="DM Sans"/>
                <w:color w:val="9CA3AF"/>
                <w:sz w:val="18"/>
                <w:szCs w:val="18"/>
              </w:rPr>
              <w:t xml:space="preserve">Defensibility · Weight: 1x · Contribution: 7pts</w:t>
            </w:r>
          </w:p>
        </w:tc>
      </w:tr>
    </w:tbl>
    <w:p>
      <w:pPr>
        <w:spacing w:after="8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3. Balcony View</w:t>
      </w:r>
    </w:p>
    <w:p>
      <w:pPr>
        <w:spacing w:after="160"/>
      </w:pPr>
      <w:r>
        <w:rPr>
          <w:rFonts w:ascii="DM Sans" w:cs="DM Sans" w:eastAsia="DM Sans" w:hAnsi="DM Sans"/>
          <w:color w:val="6B7280"/>
          <w:sz w:val="24"/>
          <w:szCs w:val="24"/>
        </w:rPr>
        <w:t xml:space="preserve">A high-level view of the risk and opportunity across each quadrant of Northwind Advisory's AI disruption landscape.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240" w:before="160"/>
            </w:pPr>
            <w:r>
              <w:rPr>
                <w:rFonts w:ascii="Instrument Serif" w:cs="Instrument Serif" w:eastAsia="Instrument Serif" w:hAnsi="Instrument Serif"/>
                <w:b/>
                <w:bCs/>
                <w:color w:val="1A1F2E"/>
                <w:sz w:val="32"/>
                <w:szCs w:val="32"/>
              </w:rPr>
              <w:t xml:space="preserve">Operations</w:t>
            </w:r>
          </w:p>
          <w:p>
            <w:pPr>
              <w:spacing w:after="80"/>
            </w:pPr>
            <w:r>
              <w:rPr>
                <w:rFonts w:ascii="DM Sans" w:cs="DM Sans" w:eastAsia="DM Sans" w:hAnsi="DM Sans"/>
                <w:b/>
                <w:bCs/>
                <w:color w:val="C0392B"/>
                <w:spacing w:val="40"/>
                <w:sz w:val="18"/>
                <w:szCs w:val="18"/>
              </w:rPr>
              <w:t xml:space="preserve">RISK</w:t>
            </w:r>
          </w:p>
          <w:p>
            <w:pPr>
              <w:spacing w:after="240"/>
            </w:pPr>
            <w:r>
              <w:rPr>
                <w:rFonts w:ascii="DM Sans" w:cs="DM Sans" w:eastAsia="DM Sans" w:hAnsi="DM Sans"/>
                <w:color w:val="374151"/>
                <w:sz w:val="24"/>
                <w:szCs w:val="24"/>
              </w:rPr>
              <w:t xml:space="preserve">AI-driven automation is fundamentally reshaping how your industry operates. Competitors are already using AI to process transactions, assess claims, generate reports, and manage compliance at a fraction of the cost and time of manual workflows. Every month of delay compounds the efficiency gap — organisations still relying on manual processes face rising costs, slower turnaround, and increasing error rates relative to AI-augmented peers.</w:t>
            </w:r>
          </w:p>
          <w:p>
            <w:pPr>
              <w:spacing w:after="80"/>
            </w:pPr>
            <w:r>
              <w:rPr>
                <w:rFonts w:ascii="DM Sans" w:cs="DM Sans" w:eastAsia="DM Sans" w:hAnsi="DM Sans"/>
                <w:b/>
                <w:bCs/>
                <w:color w:val="1792D5"/>
                <w:spacing w:val="40"/>
                <w:sz w:val="18"/>
                <w:szCs w:val="18"/>
              </w:rPr>
              <w:t xml:space="preserve">OPPORTUNITY</w:t>
            </w:r>
          </w:p>
          <w:p>
            <w:pPr>
              <w:spacing w:after="160"/>
            </w:pPr>
            <w:r>
              <w:rPr>
                <w:rFonts w:ascii="DM Sans" w:cs="DM Sans" w:eastAsia="DM Sans" w:hAnsi="DM Sans"/>
                <w:color w:val="374151"/>
                <w:sz w:val="24"/>
                <w:szCs w:val="24"/>
              </w:rPr>
              <w:t xml:space="preserve">There is a major opportunity to transform core operations with AI, unlocking step-change improvements in speed, cost, and quality. AI can automate high-volume, rules-based processes (claims processing, compliance checks, data reconciliation), reduce error rates, and free skilled staff to focus on complex exceptions and strategic work. Organisations achieving this transformation typically report 30-60% efficiency gains in targeted processes.</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240" w:before="160"/>
            </w:pPr>
            <w:r>
              <w:rPr>
                <w:rFonts w:ascii="Instrument Serif" w:cs="Instrument Serif" w:eastAsia="Instrument Serif" w:hAnsi="Instrument Serif"/>
                <w:b/>
                <w:bCs/>
                <w:color w:val="1A1F2E"/>
                <w:sz w:val="32"/>
                <w:szCs w:val="32"/>
              </w:rPr>
              <w:t xml:space="preserve">Customer Experience</w:t>
            </w:r>
          </w:p>
          <w:p>
            <w:pPr>
              <w:spacing w:after="80"/>
            </w:pPr>
            <w:r>
              <w:rPr>
                <w:rFonts w:ascii="DM Sans" w:cs="DM Sans" w:eastAsia="DM Sans" w:hAnsi="DM Sans"/>
                <w:b/>
                <w:bCs/>
                <w:color w:val="C0392B"/>
                <w:spacing w:val="40"/>
                <w:sz w:val="18"/>
                <w:szCs w:val="18"/>
              </w:rPr>
              <w:t xml:space="preserve">RISK</w:t>
            </w:r>
          </w:p>
          <w:p>
            <w:pPr>
              <w:spacing w:after="240"/>
            </w:pPr>
            <w:r>
              <w:rPr>
                <w:rFonts w:ascii="DM Sans" w:cs="DM Sans" w:eastAsia="DM Sans" w:hAnsi="DM Sans"/>
                <w:color w:val="374151"/>
                <w:sz w:val="24"/>
                <w:szCs w:val="24"/>
              </w:rPr>
              <w:t xml:space="preserve">Customer expectations are being fundamentally reset by AI-powered experiences in other sectors. People now expect instant responses, personalised recommendations, proactive communication, and 24/7 availability — standards set by AI-native companies. Your current service delivery model risks feeling slow, generic, and disconnected by comparison, driving customers toward competitors who deliver AI-enhanced experiences.</w:t>
            </w:r>
          </w:p>
          <w:p>
            <w:pPr>
              <w:spacing w:after="80"/>
            </w:pPr>
            <w:r>
              <w:rPr>
                <w:rFonts w:ascii="DM Sans" w:cs="DM Sans" w:eastAsia="DM Sans" w:hAnsi="DM Sans"/>
                <w:b/>
                <w:bCs/>
                <w:color w:val="1792D5"/>
                <w:spacing w:val="40"/>
                <w:sz w:val="18"/>
                <w:szCs w:val="18"/>
              </w:rPr>
              <w:t xml:space="preserve">OPPORTUNITY</w:t>
            </w:r>
          </w:p>
          <w:p>
            <w:pPr>
              <w:spacing w:after="160"/>
            </w:pPr>
            <w:r>
              <w:rPr>
                <w:rFonts w:ascii="DM Sans" w:cs="DM Sans" w:eastAsia="DM Sans" w:hAnsi="DM Sans"/>
                <w:color w:val="374151"/>
                <w:sz w:val="24"/>
                <w:szCs w:val="24"/>
              </w:rPr>
              <w:t xml:space="preserve">AI creates the possibility of a transformative leap in customer experience. Personalised communications at scale, instant query resolution through intelligent chatbots, proactive alerts based on individual circumstances, and 24/7 service availability are all achievable with current AI technology. Organisations leading in AI-powered CX report significant improvements in satisfaction scores, retention rates, and cost-to-serve.</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240" w:before="160"/>
            </w:pPr>
            <w:r>
              <w:rPr>
                <w:rFonts w:ascii="Instrument Serif" w:cs="Instrument Serif" w:eastAsia="Instrument Serif" w:hAnsi="Instrument Serif"/>
                <w:b/>
                <w:bCs/>
                <w:color w:val="1A1F2E"/>
                <w:sz w:val="32"/>
                <w:szCs w:val="32"/>
              </w:rPr>
              <w:t xml:space="preserve">Competitive Landscape</w:t>
            </w:r>
          </w:p>
          <w:p>
            <w:pPr>
              <w:spacing w:after="80"/>
            </w:pPr>
            <w:r>
              <w:rPr>
                <w:rFonts w:ascii="DM Sans" w:cs="DM Sans" w:eastAsia="DM Sans" w:hAnsi="DM Sans"/>
                <w:b/>
                <w:bCs/>
                <w:color w:val="C0392B"/>
                <w:spacing w:val="40"/>
                <w:sz w:val="18"/>
                <w:szCs w:val="18"/>
              </w:rPr>
              <w:t xml:space="preserve">RISK</w:t>
            </w:r>
          </w:p>
          <w:p>
            <w:pPr>
              <w:spacing w:after="240"/>
            </w:pPr>
            <w:r>
              <w:rPr>
                <w:rFonts w:ascii="DM Sans" w:cs="DM Sans" w:eastAsia="DM Sans" w:hAnsi="DM Sans"/>
                <w:color w:val="374151"/>
                <w:sz w:val="24"/>
                <w:szCs w:val="24"/>
              </w:rPr>
              <w:t xml:space="preserve">Competitors are actively deploying AI at scale, creating compounding advantages that widen with every quarter of delay. AI-augmented competitors can serve more customers at lower cost, make faster decisions, and iterate their products more rapidly. This is not a one-time gap — it is an accelerating divergence where early movers gain data advantages that reinforce their lead.</w:t>
            </w:r>
          </w:p>
          <w:p>
            <w:pPr>
              <w:spacing w:after="80"/>
            </w:pPr>
            <w:r>
              <w:rPr>
                <w:rFonts w:ascii="DM Sans" w:cs="DM Sans" w:eastAsia="DM Sans" w:hAnsi="DM Sans"/>
                <w:b/>
                <w:bCs/>
                <w:color w:val="1792D5"/>
                <w:spacing w:val="40"/>
                <w:sz w:val="18"/>
                <w:szCs w:val="18"/>
              </w:rPr>
              <w:t xml:space="preserve">OPPORTUNITY</w:t>
            </w:r>
          </w:p>
          <w:p>
            <w:pPr>
              <w:spacing w:after="160"/>
            </w:pPr>
            <w:r>
              <w:rPr>
                <w:rFonts w:ascii="DM Sans" w:cs="DM Sans" w:eastAsia="DM Sans" w:hAnsi="DM Sans"/>
                <w:color w:val="374151"/>
                <w:sz w:val="24"/>
                <w:szCs w:val="24"/>
              </w:rPr>
              <w:t xml:space="preserve">The window to establish AI-driven competitive advantage is still open, but closing rapidly as peers accelerate investment. First movers in AI-powered operations, customer experience, and decision-making build data moats and operational advantages that are extremely difficult to replicate. Acting now allows you to define the competitive standard rather than chase it.</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F1B2D" w:sz="18"/>
              <w:bottom w:val="single" w:color="E9ECEF" w:sz="1"/>
              <w:right w:val="single" w:color="E9ECEF" w:sz="1"/>
            </w:tcBorders>
            <w:shd w:fill="F8F9FA" w:color="F8F9FA" w:val="solid"/>
            <w:tcMar>
              <w:top w:type="dxa" w:w="144"/>
              <w:left w:type="dxa" w:w="215"/>
              <w:bottom w:type="dxa" w:w="144"/>
              <w:right w:type="dxa" w:w="215"/>
            </w:tcMar>
          </w:tcPr>
          <w:p>
            <w:pPr>
              <w:spacing w:after="240" w:before="160"/>
            </w:pPr>
            <w:r>
              <w:rPr>
                <w:rFonts w:ascii="Instrument Serif" w:cs="Instrument Serif" w:eastAsia="Instrument Serif" w:hAnsi="Instrument Serif"/>
                <w:b/>
                <w:bCs/>
                <w:color w:val="1A1F2E"/>
                <w:sz w:val="32"/>
                <w:szCs w:val="32"/>
              </w:rPr>
              <w:t xml:space="preserve">Workforce</w:t>
            </w:r>
          </w:p>
          <w:p>
            <w:pPr>
              <w:spacing w:after="80"/>
            </w:pPr>
            <w:r>
              <w:rPr>
                <w:rFonts w:ascii="DM Sans" w:cs="DM Sans" w:eastAsia="DM Sans" w:hAnsi="DM Sans"/>
                <w:b/>
                <w:bCs/>
                <w:color w:val="C0392B"/>
                <w:spacing w:val="40"/>
                <w:sz w:val="18"/>
                <w:szCs w:val="18"/>
              </w:rPr>
              <w:t xml:space="preserve">RISK</w:t>
            </w:r>
          </w:p>
          <w:p>
            <w:pPr>
              <w:spacing w:after="240"/>
            </w:pPr>
            <w:r>
              <w:rPr>
                <w:rFonts w:ascii="DM Sans" w:cs="DM Sans" w:eastAsia="DM Sans" w:hAnsi="DM Sans"/>
                <w:color w:val="374151"/>
                <w:sz w:val="24"/>
                <w:szCs w:val="24"/>
              </w:rPr>
              <w:t xml:space="preserve">A significant proportion of roles face disruption or transformation as AI reshapes the skills your organisation needs. This is not limited to low-skill tasks — AI is increasingly capable of augmenting or replacing analytical, advisory, and administrative functions that were previously considered safe. Organisations that delay workforce transformation face a dual challenge: declining productivity from underutilised human capacity and inability to attract talent that wants to work with modern AI tools.</w:t>
            </w:r>
          </w:p>
          <w:p>
            <w:pPr>
              <w:spacing w:after="80"/>
            </w:pPr>
            <w:r>
              <w:rPr>
                <w:rFonts w:ascii="DM Sans" w:cs="DM Sans" w:eastAsia="DM Sans" w:hAnsi="DM Sans"/>
                <w:b/>
                <w:bCs/>
                <w:color w:val="1792D5"/>
                <w:spacing w:val="40"/>
                <w:sz w:val="18"/>
                <w:szCs w:val="18"/>
              </w:rPr>
              <w:t xml:space="preserve">OPPORTUNITY</w:t>
            </w:r>
          </w:p>
          <w:p>
            <w:pPr>
              <w:spacing w:after="160"/>
            </w:pPr>
            <w:r>
              <w:rPr>
                <w:rFonts w:ascii="DM Sans" w:cs="DM Sans" w:eastAsia="DM Sans" w:hAnsi="DM Sans"/>
                <w:color w:val="374151"/>
                <w:sz w:val="24"/>
                <w:szCs w:val="24"/>
              </w:rPr>
              <w:t xml:space="preserve">A massive productivity unlock is available by augmenting your workforce with AI tools that amplify human capability. This is not about replacing people — it is about equipping every team member with AI assistants that handle routine work, surface insights, draft communications, and accelerate analysis. Organisations deploying AI augmentation report individual productivity gains of 20-40% in knowledge work roles.</w:t>
            </w:r>
          </w:p>
        </w:tc>
      </w:tr>
    </w:tbl>
    <w:p>
      <w:pPr>
        <w:spacing w:after="16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4. Threats</w:t>
      </w:r>
    </w:p>
    <w:p>
      <w:pPr>
        <w:spacing w:after="160"/>
      </w:pPr>
      <w:r>
        <w:rPr>
          <w:rFonts w:ascii="DM Sans" w:cs="DM Sans" w:eastAsia="DM Sans" w:hAnsi="DM Sans"/>
          <w:color w:val="6B7280"/>
          <w:sz w:val="24"/>
          <w:szCs w:val="24"/>
        </w:rPr>
        <w:t xml:space="preserve">All identified AI disruption threats, ranked by severity and timeframe.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T1 </w:t>
            </w:r>
            <w:r>
              <w:rPr>
                <w:rFonts w:ascii="DM Sans" w:cs="DM Sans" w:eastAsia="DM Sans" w:hAnsi="DM Sans"/>
                <w:b/>
                <w:bCs/>
                <w:color w:val="C0392B"/>
                <w:sz w:val="18"/>
                <w:szCs w:val="18"/>
                <w:shd w:fill="FDF2F0" w:color="FDF2F0" w:val="solid"/>
              </w:rPr>
              <w:t xml:space="preserve"> CRITICAL </w:t>
            </w:r>
            <w:r>
              <w:rPr>
                <w:rFonts w:ascii="DM Sans" w:cs="DM Sans" w:eastAsia="DM Sans" w:hAnsi="DM Sans"/>
                <w:color w:val="9CA3AF"/>
                <w:sz w:val="20"/>
                <w:szCs w:val="20"/>
              </w:rPr>
              <w:t xml:space="preserve">   Now–12 months</w:t>
            </w:r>
          </w:p>
          <w:p>
            <w:pPr>
              <w:spacing w:after="80"/>
            </w:pPr>
            <w:r>
              <w:rPr>
                <w:rFonts w:ascii="Instrument Serif" w:cs="Instrument Serif" w:eastAsia="Instrument Serif" w:hAnsi="Instrument Serif"/>
                <w:b/>
                <w:bCs/>
                <w:color w:val="1A1F2E"/>
                <w:sz w:val="26"/>
                <w:szCs w:val="26"/>
              </w:rPr>
              <w:t xml:space="preserve">Generative AI Directly Commoditises Core Advisory Revenue</w:t>
            </w:r>
          </w:p>
          <w:p>
            <w:pPr>
              <w:spacing w:after="160"/>
            </w:pPr>
            <w:r>
              <w:rPr>
                <w:rFonts w:ascii="DM Sans" w:cs="DM Sans" w:eastAsia="DM Sans" w:hAnsi="DM Sans"/>
                <w:color w:val="6B7280"/>
                <w:sz w:val="24"/>
                <w:szCs w:val="24"/>
              </w:rPr>
              <w:t xml:space="preserve">Tools including ChatGPT Enterprise, Claude, and Microsoft Copilot now produce strategy decks, market analyses, and operational diagnostics at a quality threshold that satisfies a growing proportion of Northwind Advisory's target market — corporate executives — without firm involvement. This is not a future risk: these tools are in active use by Northwind Advisory's prospective clients today, compressing the perceived value of entry-level and mid-tier advisory projects. Jobs and Skills Australia (2025) identifies management consulting analyst roles as among the occupations most exposed to AI substitution within professional services, and the mechanism is direct: AI reduces the time-to-first-deliverable from weeks to days, eroding the scarcity premium that has historically underpinned engagement fees. Assuming current generative AI capability trajectories continue through 2026-2029 (the steepest section of the AI capability S-curve), the proportion of advisory briefs where clients attempt AI-first approaches before engaging a firm will grow materially, shrinking the top of Northwind Advisory's new business pursuit funnel.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T2 </w:t>
            </w:r>
            <w:r>
              <w:rPr>
                <w:rFonts w:ascii="DM Sans" w:cs="DM Sans" w:eastAsia="DM Sans" w:hAnsi="DM Sans"/>
                <w:b/>
                <w:bCs/>
                <w:color w:val="C0392B"/>
                <w:sz w:val="18"/>
                <w:szCs w:val="18"/>
                <w:shd w:fill="FDF2F0" w:color="FDF2F0" w:val="solid"/>
              </w:rPr>
              <w:t xml:space="preserve"> CRITICAL </w:t>
            </w:r>
            <w:r>
              <w:rPr>
                <w:rFonts w:ascii="DM Sans" w:cs="DM Sans" w:eastAsia="DM Sans" w:hAnsi="DM Sans"/>
                <w:color w:val="9CA3AF"/>
                <w:sz w:val="20"/>
                <w:szCs w:val="20"/>
              </w:rPr>
              <w:t xml:space="preserve">   6–18 months</w:t>
            </w:r>
          </w:p>
          <w:p>
            <w:pPr>
              <w:spacing w:after="80"/>
            </w:pPr>
            <w:r>
              <w:rPr>
                <w:rFonts w:ascii="Instrument Serif" w:cs="Instrument Serif" w:eastAsia="Instrument Serif" w:hAnsi="Instrument Serif"/>
                <w:b/>
                <w:bCs/>
                <w:color w:val="1A1F2E"/>
                <w:sz w:val="26"/>
                <w:szCs w:val="26"/>
              </w:rPr>
              <w:t xml:space="preserve">AI-Native Advisory Entrants Undercut Engagement Fee Structures</w:t>
            </w:r>
          </w:p>
          <w:p>
            <w:pPr>
              <w:spacing w:after="160"/>
            </w:pPr>
            <w:r>
              <w:rPr>
                <w:rFonts w:ascii="DM Sans" w:cs="DM Sans" w:eastAsia="DM Sans" w:hAnsi="DM Sans"/>
                <w:color w:val="6B7280"/>
                <w:sz w:val="24"/>
                <w:szCs w:val="24"/>
              </w:rPr>
              <w:t xml:space="preserve">A credible and imminent competitive threat is not an incumbent firm adopting AI — it is AI-native advisory firms whose first hires are agents, not people, and whose cost structures Northwind Advisory cannot match at current operating configurations. These entrants (emerging in the Australian market through AI-native consulting platforms and newer AI-assisted advisory firms) can deliver strategy engagements at a fraction of traditional fees because their marginal cost per deliverable approaches zero once the model is configured. The compounding gap mechanism is direct: AI-native entrants generate higher margins per engagement, reinvest in faster model iteration, attract AI-literate consultants, and widen their cost advantage each quarter. Northwind Advisory, currently at an exploring AI maturity stage with limited public evidence of structured AI tool deployment in its delivery workflow, is accumulating a capability deficit that becomes progressively more expensive to close. Assuming this trajectory holds, the window to reposition before price anchoring shifts client expectations downward is measured in months, not years.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T3 </w:t>
            </w:r>
            <w:r>
              <w:rPr>
                <w:rFonts w:ascii="DM Sans" w:cs="DM Sans" w:eastAsia="DM Sans" w:hAnsi="DM Sans"/>
                <w:b/>
                <w:bCs/>
                <w:color w:val="C0392B"/>
                <w:sz w:val="18"/>
                <w:szCs w:val="18"/>
                <w:shd w:fill="FDF2F0" w:color="FDF2F0" w:val="solid"/>
              </w:rPr>
              <w:t xml:space="preserve"> HIGH </w:t>
            </w:r>
            <w:r>
              <w:rPr>
                <w:rFonts w:ascii="DM Sans" w:cs="DM Sans" w:eastAsia="DM Sans" w:hAnsi="DM Sans"/>
                <w:color w:val="9CA3AF"/>
                <w:sz w:val="20"/>
                <w:szCs w:val="20"/>
              </w:rPr>
              <w:t xml:space="preserve">   6–12 months</w:t>
            </w:r>
          </w:p>
          <w:p>
            <w:pPr>
              <w:spacing w:after="80"/>
            </w:pPr>
            <w:r>
              <w:rPr>
                <w:rFonts w:ascii="Instrument Serif" w:cs="Instrument Serif" w:eastAsia="Instrument Serif" w:hAnsi="Instrument Serif"/>
                <w:b/>
                <w:bCs/>
                <w:color w:val="1A1F2E"/>
                <w:sz w:val="26"/>
                <w:szCs w:val="26"/>
              </w:rPr>
              <w:t xml:space="preserve">Client Expectations Outpacing Northwind Advisory's Demonstrated AI Capability</w:t>
            </w:r>
          </w:p>
          <w:p>
            <w:pPr>
              <w:spacing w:after="160"/>
            </w:pPr>
            <w:r>
              <w:rPr>
                <w:rFonts w:ascii="DM Sans" w:cs="DM Sans" w:eastAsia="DM Sans" w:hAnsi="DM Sans"/>
                <w:color w:val="6B7280"/>
                <w:sz w:val="24"/>
                <w:szCs w:val="24"/>
              </w:rPr>
              <w:t xml:space="preserve">Northwind Advisory's stated target market — corporate executives — are among the fastest-adopting segments for AI tools in Australia. These clients increasingly arrive at advisory pursuits having already experimented with AI-generated analyses, and they expect the firm they brief to demonstrate AI-augmented workflows, faster iteration cycles, and transparent use of generative tools in the advisory process. Northwind Advisory is actively hiring junior consultants for permanent positions (December 2025) using a traditional resourcing model, with limited public evidence of AI tool integration in its delivery or client-facing processes. A client testimonial referencing 'outdated systems and slow decision-making' as the pain point Northwind Advisory solved signals the firm is effective at legacy modernisation for clients — but the risk is that Northwind Advisory's own positioning begins to carry the same 'outdated' perception if AI capability is not visibly demonstrated. Assuming the expectation gap continues to widen at current rates, firms without a demonstrated AI story risk losing pursuits not on advisory quality but on perceived modernity.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T4 </w:t>
            </w:r>
            <w:r>
              <w:rPr>
                <w:rFonts w:ascii="DM Sans" w:cs="DM Sans" w:eastAsia="DM Sans" w:hAnsi="DM Sans"/>
                <w:b/>
                <w:bCs/>
                <w:color w:val="C0392B"/>
                <w:sz w:val="18"/>
                <w:szCs w:val="18"/>
                <w:shd w:fill="FDF2F0" w:color="FDF2F0" w:val="solid"/>
              </w:rPr>
              <w:t xml:space="preserve"> HIGH </w:t>
            </w:r>
            <w:r>
              <w:rPr>
                <w:rFonts w:ascii="DM Sans" w:cs="DM Sans" w:eastAsia="DM Sans" w:hAnsi="DM Sans"/>
                <w:color w:val="9CA3AF"/>
                <w:sz w:val="20"/>
                <w:szCs w:val="20"/>
              </w:rPr>
              <w:t xml:space="preserve">   12–24 months</w:t>
            </w:r>
          </w:p>
          <w:p>
            <w:pPr>
              <w:spacing w:after="80"/>
            </w:pPr>
            <w:r>
              <w:rPr>
                <w:rFonts w:ascii="Instrument Serif" w:cs="Instrument Serif" w:eastAsia="Instrument Serif" w:hAnsi="Instrument Serif"/>
                <w:b/>
                <w:bCs/>
                <w:color w:val="1A1F2E"/>
                <w:sz w:val="26"/>
                <w:szCs w:val="26"/>
              </w:rPr>
              <w:t xml:space="preserve">AI Agents Threatening Higher-Margin Strategy Services</w:t>
            </w:r>
          </w:p>
          <w:p>
            <w:pPr>
              <w:spacing w:after="160"/>
            </w:pPr>
            <w:r>
              <w:rPr>
                <w:rFonts w:ascii="DM Sans" w:cs="DM Sans" w:eastAsia="DM Sans" w:hAnsi="DM Sans"/>
                <w:color w:val="6B7280"/>
                <w:sz w:val="24"/>
                <w:szCs w:val="24"/>
              </w:rPr>
              <w:t xml:space="preserve">The current disruption to Northwind Advisory is concentrated in execution-layer services (analysis production, deck preparation, report drafting), but the next wave — already visible in tools offering AI-powered strategic positioning analysis, scenario modelling, and competitor intelligence audits — threatens the higher-margin senior advisory layer that firms like Northwind Advisory use to differentiate from pure-execution competitors. At least one competitor in the Australian advisory segment, Cresta Consulting, has built a reputation for strategy depth; if AI agents compress the time and cost required to produce comparable strategic outputs, the premium commanding power of strategy-led firms narrows. The mechanism is the AI capability S-curve: between December 2025 and mid-2026, multimodal AI agents capable of ingesting strategy briefs, analysing market positioning, and generating strategic recommendations have moved from experimental to commercially viable. Northwind Advisory's Competitive Landscape dimension scored 88/100 in this assessment, reflecting that this threat is already materialising at the competitive layer, not merely approaching.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T5 </w:t>
            </w:r>
            <w:r>
              <w:rPr>
                <w:rFonts w:ascii="DM Sans" w:cs="DM Sans" w:eastAsia="DM Sans" w:hAnsi="DM Sans"/>
                <w:b/>
                <w:bCs/>
                <w:color w:val="C0392B"/>
                <w:sz w:val="18"/>
                <w:szCs w:val="18"/>
                <w:shd w:fill="FDF2F0" w:color="FDF2F0" w:val="solid"/>
              </w:rPr>
              <w:t xml:space="preserve"> HIGH </w:t>
            </w:r>
            <w:r>
              <w:rPr>
                <w:rFonts w:ascii="DM Sans" w:cs="DM Sans" w:eastAsia="DM Sans" w:hAnsi="DM Sans"/>
                <w:color w:val="9CA3AF"/>
                <w:sz w:val="20"/>
                <w:szCs w:val="20"/>
              </w:rPr>
              <w:t xml:space="preserve">   6–18 months</w:t>
            </w:r>
          </w:p>
          <w:p>
            <w:pPr>
              <w:spacing w:after="80"/>
            </w:pPr>
            <w:r>
              <w:rPr>
                <w:rFonts w:ascii="Instrument Serif" w:cs="Instrument Serif" w:eastAsia="Instrument Serif" w:hAnsi="Instrument Serif"/>
                <w:b/>
                <w:bCs/>
                <w:color w:val="1A1F2E"/>
                <w:sz w:val="26"/>
                <w:szCs w:val="26"/>
              </w:rPr>
              <w:t xml:space="preserve">Talent Pipeline Hollowing as AI Absorbs Junior Consultant Work</w:t>
            </w:r>
          </w:p>
          <w:p>
            <w:pPr>
              <w:spacing w:after="160"/>
            </w:pPr>
            <w:r>
              <w:rPr>
                <w:rFonts w:ascii="DM Sans" w:cs="DM Sans" w:eastAsia="DM Sans" w:hAnsi="DM Sans"/>
                <w:color w:val="6B7280"/>
                <w:sz w:val="24"/>
                <w:szCs w:val="24"/>
              </w:rPr>
              <w:t xml:space="preserve">Northwind Advisory is actively recruiting permanent junior consultants (December 2025), but the entry-level and mid-weight consultant roles it is hiring for are precisely the roles most exposed to AI augmentation in Wave 1 (copilots, now) and automation in Wave 2 (bounded agents, 2028+). The workforce risk is two-layered: first, attracting AI-literate consultants is increasingly competitive as larger firms and in-house strategy teams offer AI tooling, training budgets, and clearer career pathways; second, if Northwind Advisory automates routine analysis tasks without redesigning its development pathways, it risks hollowing out the pipeline that produces future senior consultants and engagement directors. Jobs and Skills Australia (2025) identifies up to 1.3 million Australian workers at displacement risk, with knowledge worker roles in the high-exposure cohort. The talent market is bifurcating between AI-literate consultants commanding wage premiums and traditional consultants facing reduced demand — Northwind Advisory's current hiring model does not publicly signal which cohort it is targeting.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T6 </w:t>
            </w:r>
            <w:r>
              <w:rPr>
                <w:rFonts w:ascii="DM Sans" w:cs="DM Sans" w:eastAsia="DM Sans" w:hAnsi="DM Sans"/>
                <w:b/>
                <w:bCs/>
                <w:color w:val="D4870E"/>
                <w:sz w:val="18"/>
                <w:szCs w:val="18"/>
                <w:shd w:fill="FEF7E8" w:color="FEF7E8" w:val="solid"/>
              </w:rPr>
              <w:t xml:space="preserve"> MEDIUM </w:t>
            </w:r>
            <w:r>
              <w:rPr>
                <w:rFonts w:ascii="DM Sans" w:cs="DM Sans" w:eastAsia="DM Sans" w:hAnsi="DM Sans"/>
                <w:color w:val="9CA3AF"/>
                <w:sz w:val="20"/>
                <w:szCs w:val="20"/>
              </w:rPr>
              <w:t xml:space="preserve">   12–24 months</w:t>
            </w:r>
          </w:p>
          <w:p>
            <w:pPr>
              <w:spacing w:after="80"/>
            </w:pPr>
            <w:r>
              <w:rPr>
                <w:rFonts w:ascii="Instrument Serif" w:cs="Instrument Serif" w:eastAsia="Instrument Serif" w:hAnsi="Instrument Serif"/>
                <w:b/>
                <w:bCs/>
                <w:color w:val="1A1F2E"/>
                <w:sz w:val="26"/>
                <w:szCs w:val="26"/>
              </w:rPr>
              <w:t xml:space="preserve">Legacy Tech Stack Becoming a Competitive Liability</w:t>
            </w:r>
          </w:p>
          <w:p>
            <w:pPr>
              <w:spacing w:after="160"/>
            </w:pPr>
            <w:r>
              <w:rPr>
                <w:rFonts w:ascii="DM Sans" w:cs="DM Sans" w:eastAsia="DM Sans" w:hAnsi="DM Sans"/>
                <w:color w:val="6B7280"/>
                <w:sz w:val="24"/>
                <w:szCs w:val="24"/>
              </w:rPr>
              <w:t xml:space="preserve">Northwind Advisory's technology footprint (Salesforce CRM, Tableau analytics, Microsoft Azure) reflects a standard enterprise SaaS configuration that, while functional, offers no proprietary capability advantage and is increasingly misaligned with client expectations for AI-augmented advisory delivery. As the Three-Layer Model plays out, the opinionated SaaS layer sits in the squeezed middle — too opinionated to be infrastructure, too generic to be a purpose-built solution — and the cost of maintaining, securing, and customising it will grow relative to purpose-built AI-assisted advisory platforms emerging in the Australian market. More directly, clients who arrive having seen AI-generated strategy outputs produced in hours will find it difficult to justify traditional advisory project timelines and fees if Northwind Advisory's delivery model remains anchored to conventional engagement workflows. This is a technology stack risk that compounds the broader commoditisation pressure: the tools Northwind Advisory uses to deliver work are the same tools its clients can now access directly.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T7 </w:t>
            </w:r>
            <w:r>
              <w:rPr>
                <w:rFonts w:ascii="DM Sans" w:cs="DM Sans" w:eastAsia="DM Sans" w:hAnsi="DM Sans"/>
                <w:b/>
                <w:bCs/>
                <w:color w:val="D4870E"/>
                <w:sz w:val="18"/>
                <w:szCs w:val="18"/>
                <w:shd w:fill="FEF7E8" w:color="FEF7E8" w:val="solid"/>
              </w:rPr>
              <w:t xml:space="preserve"> MEDIUM </w:t>
            </w:r>
            <w:r>
              <w:rPr>
                <w:rFonts w:ascii="DM Sans" w:cs="DM Sans" w:eastAsia="DM Sans" w:hAnsi="DM Sans"/>
                <w:color w:val="9CA3AF"/>
                <w:sz w:val="20"/>
                <w:szCs w:val="20"/>
              </w:rPr>
              <w:t xml:space="preserve">   12–24 months</w:t>
            </w:r>
          </w:p>
          <w:p>
            <w:pPr>
              <w:spacing w:after="80"/>
            </w:pPr>
            <w:r>
              <w:rPr>
                <w:rFonts w:ascii="Instrument Serif" w:cs="Instrument Serif" w:eastAsia="Instrument Serif" w:hAnsi="Instrument Serif"/>
                <w:b/>
                <w:bCs/>
                <w:color w:val="1A1F2E"/>
                <w:sz w:val="26"/>
                <w:szCs w:val="26"/>
              </w:rPr>
              <w:t xml:space="preserve">Compliance Burden from National AI Plan 2025 Material for Enterprise Firms</w:t>
            </w:r>
          </w:p>
          <w:p>
            <w:pPr>
              <w:spacing w:after="160"/>
            </w:pPr>
            <w:r>
              <w:rPr>
                <w:rFonts w:ascii="DM Sans" w:cs="DM Sans" w:eastAsia="DM Sans" w:hAnsi="DM Sans"/>
                <w:color w:val="6B7280"/>
                <w:sz w:val="24"/>
                <w:szCs w:val="24"/>
              </w:rPr>
              <w:t xml:space="preserve">Australia's National AI Plan 2025 and CSIRO responsible AI frameworks are introducing governance and disclosure expectations that even at enterprise scale require dedicated compliance resourcing — and Northwind Advisory's current AI Governance footprint sits well below the level of larger AI-mature competitors. As these frameworks move from voluntary to expected-practice — particularly for firms serving government-adjacent clients or regulated industries (a confirmed client segment for Northwind Advisory) — the cost of demonstrating responsible AI use, maintaining audit trails, and training staff on ethical AI frameworks will require sustained investment across the firm. Northwind Advisory's AI Governance &amp; Ethical Framework is identified as a critical capability gap in the assessment, meaning this compliance burden arrives without an existing governance foundation to build on. Assuming regulatory expectations continue to formalise through 2026-2027, the cost of retrofitting governance is higher than building it now.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T8 </w:t>
            </w:r>
            <w:r>
              <w:rPr>
                <w:rFonts w:ascii="DM Sans" w:cs="DM Sans" w:eastAsia="DM Sans" w:hAnsi="DM Sans"/>
                <w:b/>
                <w:bCs/>
                <w:color w:val="D4870E"/>
                <w:sz w:val="18"/>
                <w:szCs w:val="18"/>
                <w:shd w:fill="FEF7E8" w:color="FEF7E8" w:val="solid"/>
              </w:rPr>
              <w:t xml:space="preserve"> MEDIUM </w:t>
            </w:r>
            <w:r>
              <w:rPr>
                <w:rFonts w:ascii="DM Sans" w:cs="DM Sans" w:eastAsia="DM Sans" w:hAnsi="DM Sans"/>
                <w:color w:val="9CA3AF"/>
                <w:sz w:val="20"/>
                <w:szCs w:val="20"/>
              </w:rPr>
              <w:t xml:space="preserve">   12–18 months</w:t>
            </w:r>
          </w:p>
          <w:p>
            <w:pPr>
              <w:spacing w:after="80"/>
            </w:pPr>
            <w:r>
              <w:rPr>
                <w:rFonts w:ascii="Instrument Serif" w:cs="Instrument Serif" w:eastAsia="Instrument Serif" w:hAnsi="Instrument Serif"/>
                <w:b/>
                <w:bCs/>
                <w:color w:val="1A1F2E"/>
                <w:sz w:val="26"/>
                <w:szCs w:val="26"/>
              </w:rPr>
              <w:t xml:space="preserve">Incumbent Peer Firms Accelerating AI Adoption Silently</w:t>
            </w:r>
          </w:p>
          <w:p>
            <w:pPr>
              <w:spacing w:after="160"/>
            </w:pPr>
            <w:r>
              <w:rPr>
                <w:rFonts w:ascii="DM Sans" w:cs="DM Sans" w:eastAsia="DM Sans" w:hAnsi="DM Sans"/>
                <w:color w:val="6B7280"/>
                <w:sz w:val="24"/>
                <w:szCs w:val="24"/>
              </w:rPr>
              <w:t xml:space="preserve">No public AI adoption signals were found for named Australian advisory peers — Hartwell Partners, Veridian Strategy, Cresta Consulting, Lattice Advisory, or Beacon Group — but the absence of public disclosure should not be read as absence of activity. The Australian professional services sector is showing materially high generative AI adoption rates (appinventiv.com, 2026), and advisory firms with the margins and leadership appetite to invest are likely building AI capability without announcing it. The risk for Northwind Advisory is that a peer firm — most plausibly Cresta Consulting or Lattice Advisory, given their positioning in the premium Australian advisory segment — emerges in the next 12-18 months with a demonstrably AI-augmented offer, compressing pursuit timelines, reducing concept iteration costs, and reframing what 'premium' advisory looks like. By the time this becomes visible in the market, the capability gap will already be compounding. Northwind Advisory's exploring-stage AI maturity means it has limited runway to build before peers who are quietly further along make their capability public. Quantification of the downside requires internal data not available publicly; sizing this threat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9ECEF" w:sz="1"/>
              <w:left w:val="single" w:color="E9ECEF" w:sz="1"/>
              <w:bottom w:val="single" w:color="E9ECEF" w:sz="1"/>
              <w:right w:val="single" w:color="E9ECEF" w:sz="1"/>
            </w:tcBorders>
            <w:shd w:fill="F8F9FA" w:color="F8F9FA" w:val="solid"/>
          </w:tcPr>
          <w:p>
            <w:pPr>
              <w:spacing w:after="160" w:before="160"/>
            </w:pPr>
            <w:r>
              <w:rPr>
                <w:rFonts w:ascii="DM Sans" w:cs="DM Sans" w:eastAsia="DM Sans" w:hAnsi="DM Sans"/>
                <w:color w:val="9CA3AF"/>
                <w:sz w:val="20"/>
                <w:szCs w:val="20"/>
              </w:rPr>
              <w:t xml:space="preserve">The AI Transformation Roadmap outlines specific initiatives to counter these threats and capitalise on opportunities.</w:t>
            </w:r>
          </w:p>
        </w:tc>
      </w:tr>
    </w:tbl>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5. Opportunities</w:t>
      </w:r>
    </w:p>
    <w:p>
      <w:pPr>
        <w:spacing w:after="160"/>
      </w:pPr>
      <w:r>
        <w:rPr>
          <w:rFonts w:ascii="DM Sans" w:cs="DM Sans" w:eastAsia="DM Sans" w:hAnsi="DM Sans"/>
          <w:color w:val="6B7280"/>
          <w:sz w:val="24"/>
          <w:szCs w:val="24"/>
        </w:rPr>
        <w:t xml:space="preserve">All identified AI growth and efficiency opportunities, ranked by impact.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O1 </w:t>
            </w:r>
            <w:r>
              <w:rPr>
                <w:rFonts w:ascii="DM Sans" w:cs="DM Sans" w:eastAsia="DM Sans" w:hAnsi="DM Sans"/>
                <w:b/>
                <w:bCs/>
                <w:color w:val="1792D5"/>
                <w:sz w:val="18"/>
                <w:szCs w:val="18"/>
                <w:shd w:fill="EBF4FD" w:color="EBF4FD" w:val="solid"/>
              </w:rPr>
              <w:t xml:space="preserve"> HIGH IMPACT </w:t>
            </w:r>
            <w:r>
              <w:rPr>
                <w:rFonts w:ascii="DM Sans" w:cs="DM Sans" w:eastAsia="DM Sans" w:hAnsi="DM Sans"/>
                <w:color w:val="9CA3AF"/>
                <w:sz w:val="20"/>
                <w:szCs w:val="20"/>
              </w:rPr>
              <w:t xml:space="preserve">   3–6 months</w:t>
            </w:r>
          </w:p>
          <w:p>
            <w:pPr>
              <w:spacing w:after="80"/>
            </w:pPr>
            <w:r>
              <w:rPr>
                <w:rFonts w:ascii="Instrument Serif" w:cs="Instrument Serif" w:eastAsia="Instrument Serif" w:hAnsi="Instrument Serif"/>
                <w:b/>
                <w:bCs/>
                <w:color w:val="1A1F2E"/>
                <w:sz w:val="26"/>
                <w:szCs w:val="26"/>
              </w:rPr>
              <w:t xml:space="preserve">Reposition as AI-Augmented Advisory Firm, Not Analysis Executor</w:t>
            </w:r>
          </w:p>
          <w:p>
            <w:pPr>
              <w:spacing w:after="160"/>
            </w:pPr>
            <w:r>
              <w:rPr>
                <w:rFonts w:ascii="DM Sans" w:cs="DM Sans" w:eastAsia="DM Sans" w:hAnsi="DM Sans"/>
                <w:color w:val="6B7280"/>
                <w:sz w:val="24"/>
                <w:szCs w:val="24"/>
              </w:rPr>
              <w:t xml:space="preserve">Northwind Advisory's most decisive near-term opportunity is to formally reposition from a traditional advisory firm to an AI-augmented advisory firm — where human engagement directors set strategic direction and AI tools (ChatGPT Enterprise, Claude, generative analysis platforms) handle analysis volume, iteration speed, and deliverable production. This is the Expand frame: not doing the same work faster, but offering a fundamentally different client experience where Northwind Advisory delivers more options, faster revisions, and richer scenario exploration within the same engagement fee structure, making the human strategic layer more visible and more valuable. The PwC Australia example is instructive in mechanism and scale: compressing an 18-month, 40-person project to a 90-day, 6-person sprint using AI-equipped professionals demonstrates that the productivity gain is real and client-facing, not just internal. For Northwind Advisory, assuming current AI tool capabilities, this repositioning could materially reduce analysis-to-presentation time and increase the number of active engagements the team can carry simultaneously without proportional headcount growth.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O2 </w:t>
            </w:r>
            <w:r>
              <w:rPr>
                <w:rFonts w:ascii="DM Sans" w:cs="DM Sans" w:eastAsia="DM Sans" w:hAnsi="DM Sans"/>
                <w:b/>
                <w:bCs/>
                <w:color w:val="1792D5"/>
                <w:sz w:val="18"/>
                <w:szCs w:val="18"/>
                <w:shd w:fill="EBF4FD" w:color="EBF4FD" w:val="solid"/>
              </w:rPr>
              <w:t xml:space="preserve"> HIGH IMPACT </w:t>
            </w:r>
            <w:r>
              <w:rPr>
                <w:rFonts w:ascii="DM Sans" w:cs="DM Sans" w:eastAsia="DM Sans" w:hAnsi="DM Sans"/>
                <w:color w:val="9CA3AF"/>
                <w:sz w:val="20"/>
                <w:szCs w:val="20"/>
              </w:rPr>
              <w:t xml:space="preserve">   3–6 months</w:t>
            </w:r>
          </w:p>
          <w:p>
            <w:pPr>
              <w:spacing w:after="80"/>
            </w:pPr>
            <w:r>
              <w:rPr>
                <w:rFonts w:ascii="Instrument Serif" w:cs="Instrument Serif" w:eastAsia="Instrument Serif" w:hAnsi="Instrument Serif"/>
                <w:b/>
                <w:bCs/>
                <w:color w:val="1A1F2E"/>
                <w:sz w:val="26"/>
                <w:szCs w:val="26"/>
              </w:rPr>
              <w:t xml:space="preserve">Introduce AI-Assisted Fast-Track Tier for Mid-Market Clients</w:t>
            </w:r>
          </w:p>
          <w:p>
            <w:pPr>
              <w:spacing w:after="160"/>
            </w:pPr>
            <w:r>
              <w:rPr>
                <w:rFonts w:ascii="DM Sans" w:cs="DM Sans" w:eastAsia="DM Sans" w:hAnsi="DM Sans"/>
                <w:color w:val="6B7280"/>
                <w:sz w:val="24"/>
                <w:szCs w:val="24"/>
              </w:rPr>
              <w:t xml:space="preserve">Northwind Advisory's stated focus on corporate executives includes a significant cohort of mid-market clients who need premium-quality advisory but cannot justify partner-led engagement fees. By introducing an AI-assisted fast-track service tier — where AI tools generate initial analyses and iterations, with Northwind Advisory's senior consultants providing strategic direction, quality control, and judgement framing — Northwind Advisory can capture a market segment currently priced out of its offer and convert them into full-service clients as they grow. This is a direct revenue expansion opportunity that does not cannibalise the premium tier: it creates a new entry point into the Northwind Advisory client relationship. The fast-track tier also functions as a competitive defence against AI-native entrants (AI-native consulting platforms) by offering the quality assurance and strategic input those platforms cannot match, at a price point closer to theirs. Exact quantification of revenue uplift requires internal financial data, but the opportunity warrants an initial scoping exercise to size the addressable segment within Northwind Advisory's existing pursuit funnel.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O3 </w:t>
            </w:r>
            <w:r>
              <w:rPr>
                <w:rFonts w:ascii="DM Sans" w:cs="DM Sans" w:eastAsia="DM Sans" w:hAnsi="DM Sans"/>
                <w:b/>
                <w:bCs/>
                <w:color w:val="1792D5"/>
                <w:sz w:val="18"/>
                <w:szCs w:val="18"/>
                <w:shd w:fill="EBF4FD" w:color="EBF4FD" w:val="solid"/>
              </w:rPr>
              <w:t xml:space="preserve"> HIGH IMPACT </w:t>
            </w:r>
            <w:r>
              <w:rPr>
                <w:rFonts w:ascii="DM Sans" w:cs="DM Sans" w:eastAsia="DM Sans" w:hAnsi="DM Sans"/>
                <w:color w:val="9CA3AF"/>
                <w:sz w:val="20"/>
                <w:szCs w:val="20"/>
              </w:rPr>
              <w:t xml:space="preserve">   Immediate (within current hiring cycle)</w:t>
            </w:r>
          </w:p>
          <w:p>
            <w:pPr>
              <w:spacing w:after="80"/>
            </w:pPr>
            <w:r>
              <w:rPr>
                <w:rFonts w:ascii="Instrument Serif" w:cs="Instrument Serif" w:eastAsia="Instrument Serif" w:hAnsi="Instrument Serif"/>
                <w:b/>
                <w:bCs/>
                <w:color w:val="1A1F2E"/>
                <w:sz w:val="26"/>
                <w:szCs w:val="26"/>
              </w:rPr>
              <w:t xml:space="preserve">Redesign Hiring to Target AI-Literate Consultants Explicitly</w:t>
            </w:r>
          </w:p>
          <w:p>
            <w:pPr>
              <w:spacing w:after="160"/>
            </w:pPr>
            <w:r>
              <w:rPr>
                <w:rFonts w:ascii="DM Sans" w:cs="DM Sans" w:eastAsia="DM Sans" w:hAnsi="DM Sans"/>
                <w:color w:val="6B7280"/>
                <w:sz w:val="24"/>
                <w:szCs w:val="24"/>
              </w:rPr>
              <w:t xml:space="preserve">Northwind Advisory is actively recruiting permanent junior consultants (December 2025) — this hiring cycle is an immediate opportunity to redefine the role profile toward AI-literate consultants who can operate generative tools, direct AI outputs, and function as advisory strategists rather than pure executors. The talent market is bifurcating: AI-literate consultants are in demand across Australia's advisory market, but firms that offer genuine AI tooling, professional autonomy, and a clear career pathway from AI-assisted execution to engagement leadership can compete for this cohort against larger firms on culture and craft rather than salary alone. Redesigning the role profile now — before the current hiring cycle closes — costs nothing beyond the internal time to rewrite the brief, but positions Northwind Advisory to build the AI-augmented team it needs for the repositioning described in O1. This also addresses the entry-level pathway compression risk: by designing junior roles that include AI tool mastery as a core development objective, Northwind Advisory builds the pipeline for future engagement directors who understand both craft and AI.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O4 </w:t>
            </w:r>
            <w:r>
              <w:rPr>
                <w:rFonts w:ascii="DM Sans" w:cs="DM Sans" w:eastAsia="DM Sans" w:hAnsi="DM Sans"/>
                <w:b/>
                <w:bCs/>
                <w:color w:val="1E7D5A"/>
                <w:sz w:val="18"/>
                <w:szCs w:val="18"/>
                <w:shd w:fill="EBF7F2" w:color="EBF7F2" w:val="solid"/>
              </w:rPr>
              <w:t xml:space="preserve"> MEDIUM IMPACT </w:t>
            </w:r>
            <w:r>
              <w:rPr>
                <w:rFonts w:ascii="DM Sans" w:cs="DM Sans" w:eastAsia="DM Sans" w:hAnsi="DM Sans"/>
                <w:color w:val="9CA3AF"/>
                <w:sz w:val="20"/>
                <w:szCs w:val="20"/>
              </w:rPr>
              <w:t xml:space="preserve">   6–12 months</w:t>
            </w:r>
          </w:p>
          <w:p>
            <w:pPr>
              <w:spacing w:after="80"/>
            </w:pPr>
            <w:r>
              <w:rPr>
                <w:rFonts w:ascii="Instrument Serif" w:cs="Instrument Serif" w:eastAsia="Instrument Serif" w:hAnsi="Instrument Serif"/>
                <w:b/>
                <w:bCs/>
                <w:color w:val="1A1F2E"/>
                <w:sz w:val="26"/>
                <w:szCs w:val="26"/>
              </w:rPr>
              <w:t xml:space="preserve">Build AI Governance Capability as a Client-Facing Differentiator</w:t>
            </w:r>
          </w:p>
          <w:p>
            <w:pPr>
              <w:spacing w:after="160"/>
            </w:pPr>
            <w:r>
              <w:rPr>
                <w:rFonts w:ascii="DM Sans" w:cs="DM Sans" w:eastAsia="DM Sans" w:hAnsi="DM Sans"/>
                <w:color w:val="6B7280"/>
                <w:sz w:val="24"/>
                <w:szCs w:val="24"/>
              </w:rPr>
              <w:t xml:space="preserve">Northwind Advisory's confirmed client base includes industry associations and business leaders navigating AI adoption in their own organisations. As Australia's National AI Plan 2025 and CSIRO frameworks formalise responsible AI expectations, these clients will need guidance on how AI-generated client knowledges, communications, and digital content are governed, attributed, and ethically deployed. Northwind Advisory has an opportunity to build AI governance and ethical framework capability — identified as a critical internal gap — and convert it into a client-facing advisory offer: helping clients understand how to brief, review, and deploy AI-generated advisory work responsibly. This positions Northwind Advisory as a trusted advisor rather than a pure service provider, deepening client relationships and creating a retainer-based revenue stream that is structurally more resilient than project-by-project work. The opportunity is time-sensitive: the firm that establishes this advisory positioning first in the Sydney  brand segment will be difficult to displace.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O5 </w:t>
            </w:r>
            <w:r>
              <w:rPr>
                <w:rFonts w:ascii="DM Sans" w:cs="DM Sans" w:eastAsia="DM Sans" w:hAnsi="DM Sans"/>
                <w:b/>
                <w:bCs/>
                <w:color w:val="1E7D5A"/>
                <w:sz w:val="18"/>
                <w:szCs w:val="18"/>
                <w:shd w:fill="EBF7F2" w:color="EBF7F2" w:val="solid"/>
              </w:rPr>
              <w:t xml:space="preserve"> MEDIUM IMPACT </w:t>
            </w:r>
            <w:r>
              <w:rPr>
                <w:rFonts w:ascii="DM Sans" w:cs="DM Sans" w:eastAsia="DM Sans" w:hAnsi="DM Sans"/>
                <w:color w:val="9CA3AF"/>
                <w:sz w:val="20"/>
                <w:szCs w:val="20"/>
              </w:rPr>
              <w:t xml:space="preserve">   6–12 months</w:t>
            </w:r>
          </w:p>
          <w:p>
            <w:pPr>
              <w:spacing w:after="80"/>
            </w:pPr>
            <w:r>
              <w:rPr>
                <w:rFonts w:ascii="Instrument Serif" w:cs="Instrument Serif" w:eastAsia="Instrument Serif" w:hAnsi="Instrument Serif"/>
                <w:b/>
                <w:bCs/>
                <w:color w:val="1A1F2E"/>
                <w:sz w:val="26"/>
                <w:szCs w:val="26"/>
              </w:rPr>
              <w:t xml:space="preserve">Leverage AWS Infrastructure for Proprietary AI Workflow Tooling</w:t>
            </w:r>
          </w:p>
          <w:p>
            <w:pPr>
              <w:spacing w:after="160"/>
            </w:pPr>
            <w:r>
              <w:rPr>
                <w:rFonts w:ascii="DM Sans" w:cs="DM Sans" w:eastAsia="DM Sans" w:hAnsi="DM Sans"/>
                <w:color w:val="6B7280"/>
                <w:sz w:val="24"/>
                <w:szCs w:val="24"/>
              </w:rPr>
              <w:t xml:space="preserve">Northwind Advisory's confirmed use of AWS infrastructure provides a credible foundation for building purpose-built AI workflow tools — concept brief processors, framework consistency checkers, or client presentation generators — without relying on opinionated middle-layer platforms that impose generic templates on a specific advisory process. Applying the Three-Layer Model: AWS is infrastructure (keep and deepen); generic project management or advisory workflow SaaS platforms are the squeezed middle (evaluate for replacement); purpose-built AI tools trained on Northwind Advisory's own portfolio and brand methodology are the niche solution layer that creates proprietary capability. This is not a large-scale technology build — it is a targeted use of existing cloud infrastructure to automate the coordination and administration layer of project delivery (briefing, asset versioning, client feedback loops), freeing consultant time for higher-value advisory and strategic work. Desktop estimate: industry benchmarks for AI-assisted workflow automation in creative services suggest material reductions in non-billable coordination time, though exact figures require internal time-tracking data to size.</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O6 </w:t>
            </w:r>
            <w:r>
              <w:rPr>
                <w:rFonts w:ascii="DM Sans" w:cs="DM Sans" w:eastAsia="DM Sans" w:hAnsi="DM Sans"/>
                <w:b/>
                <w:bCs/>
                <w:color w:val="1E7D5A"/>
                <w:sz w:val="18"/>
                <w:szCs w:val="18"/>
                <w:shd w:fill="EBF7F2" w:color="EBF7F2" w:val="solid"/>
              </w:rPr>
              <w:t xml:space="preserve"> MEDIUM IMPACT </w:t>
            </w:r>
            <w:r>
              <w:rPr>
                <w:rFonts w:ascii="DM Sans" w:cs="DM Sans" w:eastAsia="DM Sans" w:hAnsi="DM Sans"/>
                <w:color w:val="9CA3AF"/>
                <w:sz w:val="20"/>
                <w:szCs w:val="20"/>
              </w:rPr>
              <w:t xml:space="preserve">   3–6 months</w:t>
            </w:r>
          </w:p>
          <w:p>
            <w:pPr>
              <w:spacing w:after="80"/>
            </w:pPr>
            <w:r>
              <w:rPr>
                <w:rFonts w:ascii="Instrument Serif" w:cs="Instrument Serif" w:eastAsia="Instrument Serif" w:hAnsi="Instrument Serif"/>
                <w:b/>
                <w:bCs/>
                <w:color w:val="1A1F2E"/>
                <w:sz w:val="26"/>
                <w:szCs w:val="26"/>
              </w:rPr>
              <w:t xml:space="preserve">Target Legacy Brand Modernisation as a Defined Service Offer</w:t>
            </w:r>
          </w:p>
          <w:p>
            <w:pPr>
              <w:spacing w:after="160"/>
            </w:pPr>
            <w:r>
              <w:rPr>
                <w:rFonts w:ascii="DM Sans" w:cs="DM Sans" w:eastAsia="DM Sans" w:hAnsi="DM Sans"/>
                <w:color w:val="6B7280"/>
                <w:sz w:val="24"/>
                <w:szCs w:val="24"/>
              </w:rPr>
              <w:t xml:space="preserve">A confirmed client testimonial (April 2026) references an industry association CEO engaging Northwind Advisory to refresh an 'ageing brand and archaic website' — this is not an isolated brief, it is a segment signal. Australian organisations that built their engagement and digital presence in the 2010s are entering a modernisation cycle, and Northwind Advisory's demonstrated capability in this space — combined with an AI-augmented delivery model — positions it to pursue this segment systematically rather than opportunistically. The opportunity is to develop a structured legacy brand modernisation offer: a defined diagnostic, a clear deliverable set (brand audit, identity refresh, website rebuild), and a repeatable delivery process that uses AI tools to accelerate the audit and concept phases. This creates a more predictable new business pipeline than responding to inbound briefs, and it targets a client segment (established organisations with budget, not startups) where Northwind Advisory's strategic depth commands a genuine premium over AI-native entrants.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O7 </w:t>
            </w:r>
            <w:r>
              <w:rPr>
                <w:rFonts w:ascii="DM Sans" w:cs="DM Sans" w:eastAsia="DM Sans" w:hAnsi="DM Sans"/>
                <w:b/>
                <w:bCs/>
                <w:color w:val="1E7D5A"/>
                <w:sz w:val="18"/>
                <w:szCs w:val="18"/>
                <w:shd w:fill="EBF7F2" w:color="EBF7F2" w:val="solid"/>
              </w:rPr>
              <w:t xml:space="preserve"> MEDIUM IMPACT </w:t>
            </w:r>
            <w:r>
              <w:rPr>
                <w:rFonts w:ascii="DM Sans" w:cs="DM Sans" w:eastAsia="DM Sans" w:hAnsi="DM Sans"/>
                <w:color w:val="9CA3AF"/>
                <w:sz w:val="20"/>
                <w:szCs w:val="20"/>
              </w:rPr>
              <w:t xml:space="preserve">   1–3 months</w:t>
            </w:r>
          </w:p>
          <w:p>
            <w:pPr>
              <w:spacing w:after="80"/>
            </w:pPr>
            <w:r>
              <w:rPr>
                <w:rFonts w:ascii="Instrument Serif" w:cs="Instrument Serif" w:eastAsia="Instrument Serif" w:hAnsi="Instrument Serif"/>
                <w:b/>
                <w:bCs/>
                <w:color w:val="1A1F2E"/>
                <w:sz w:val="26"/>
                <w:szCs w:val="26"/>
              </w:rPr>
              <w:t xml:space="preserve">Assess Leadership Team Against AI-Era Capability Requirements</w:t>
            </w:r>
          </w:p>
          <w:p>
            <w:pPr>
              <w:spacing w:after="160"/>
            </w:pPr>
            <w:r>
              <w:rPr>
                <w:rFonts w:ascii="DM Sans" w:cs="DM Sans" w:eastAsia="DM Sans" w:hAnsi="DM Sans"/>
                <w:color w:val="6B7280"/>
                <w:sz w:val="24"/>
                <w:szCs w:val="24"/>
              </w:rPr>
              <w:t xml:space="preserve">Northwind Advisory's transition from an exploring AI maturity to an AI-augmented operating model is as much a leadership challenge as a technology one. The five capabilities AI cannot replace — judgment under pressure, influence without authority, sense-making in ambiguity, the nerve to lead through disruption, and execution discipline — are precisely the capabilities required to navigate the repositioning described in O1 and O2. A structured assessment of Northwind Advisory's leadership team against these capabilities, and against the ten capabilities that define value in an AI world (AI fluency, critical thinking, adaptive resilience, creative and integrative thinking, learning agility, communication and sense-making, ethical judgment, systems thinking, collaboration and relationship intelligence, execution discipline), would identify where leadership development investment is most urgent and where external capability may be needed. This is not a generic leadership development exercise — it is a prerequisite for executing the strategic repositioning that the overall 75/100 disruption score demands. Exact quantification of the value unlocked requires internal data, but the opportunity warrants a structured half-day leadership workshop as a starting point.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E7D5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DM Sans" w:cs="DM Sans" w:eastAsia="DM Sans" w:hAnsi="DM Sans"/>
                <w:b/>
                <w:bCs/>
                <w:color w:val="9CA3AF"/>
                <w:sz w:val="20"/>
                <w:szCs w:val="20"/>
              </w:rPr>
              <w:t xml:space="preserve">O8 </w:t>
            </w:r>
            <w:r>
              <w:rPr>
                <w:rFonts w:ascii="DM Sans" w:cs="DM Sans" w:eastAsia="DM Sans" w:hAnsi="DM Sans"/>
                <w:b/>
                <w:bCs/>
                <w:color w:val="1E7D5A"/>
                <w:sz w:val="18"/>
                <w:szCs w:val="18"/>
                <w:shd w:fill="EBF7F2" w:color="EBF7F2" w:val="solid"/>
              </w:rPr>
              <w:t xml:space="preserve"> LOW IMPACT </w:t>
            </w:r>
            <w:r>
              <w:rPr>
                <w:rFonts w:ascii="DM Sans" w:cs="DM Sans" w:eastAsia="DM Sans" w:hAnsi="DM Sans"/>
                <w:color w:val="9CA3AF"/>
                <w:sz w:val="20"/>
                <w:szCs w:val="20"/>
              </w:rPr>
              <w:t xml:space="preserve">   3–6 months</w:t>
            </w:r>
          </w:p>
          <w:p>
            <w:pPr>
              <w:spacing w:after="80"/>
            </w:pPr>
            <w:r>
              <w:rPr>
                <w:rFonts w:ascii="Instrument Serif" w:cs="Instrument Serif" w:eastAsia="Instrument Serif" w:hAnsi="Instrument Serif"/>
                <w:b/>
                <w:bCs/>
                <w:color w:val="1A1F2E"/>
                <w:sz w:val="26"/>
                <w:szCs w:val="26"/>
              </w:rPr>
              <w:t xml:space="preserve">Access Jobs and Skills Australia AI Upskilling Programmes</w:t>
            </w:r>
          </w:p>
          <w:p>
            <w:pPr>
              <w:spacing w:after="160"/>
            </w:pPr>
            <w:r>
              <w:rPr>
                <w:rFonts w:ascii="DM Sans" w:cs="DM Sans" w:eastAsia="DM Sans" w:hAnsi="DM Sans"/>
                <w:color w:val="6B7280"/>
                <w:sz w:val="24"/>
                <w:szCs w:val="24"/>
              </w:rPr>
              <w:t xml:space="preserve">The Australian Government's Jobs and Skills Australia initiative includes funded AI upskilling pathways that Northwind Advisory, as an SME in a high-AI-exposure sector, may be eligible to access. Given that Team AI Capability &amp; Training is identified as a critical capability gap in this assessment, and that Northwind Advisory is currently in an active hiring cycle, government-subsidised training could materially reduce the cost of building AI fluency across the delivery team without requiring a large internal training budget. The regional-metro divide in AI adoption (29% regional vs higher metro rates, confirmed in PEST analysis) suggests that government programmes may be calibrated to drive metro SME adoption as well as regional uplift — Northwind Advisory's Sydney base does not automatically disqualify it. This opportunity is lower urgency than O1-O4 but represents a cost-effective way to accelerate the capability build that underpins the higher-priority opportunities. Exact eligibility and subsidy quantum require direct engagement with Jobs and Skills Australia programme documentation. Quantification of financial impact requires internal data not available publicly; sizing this opportunity is a workshop activity with the leadership team.</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9ECEF" w:sz="1"/>
              <w:left w:val="single" w:color="E9ECEF" w:sz="1"/>
              <w:bottom w:val="single" w:color="E9ECEF" w:sz="1"/>
              <w:right w:val="single" w:color="E9ECEF" w:sz="1"/>
            </w:tcBorders>
            <w:shd w:fill="F8F9FA" w:color="F8F9FA" w:val="solid"/>
          </w:tcPr>
          <w:p>
            <w:pPr>
              <w:spacing w:after="160" w:before="160"/>
            </w:pPr>
            <w:r>
              <w:rPr>
                <w:rFonts w:ascii="DM Sans" w:cs="DM Sans" w:eastAsia="DM Sans" w:hAnsi="DM Sans"/>
                <w:color w:val="9CA3AF"/>
                <w:sz w:val="20"/>
                <w:szCs w:val="20"/>
              </w:rPr>
              <w:t xml:space="preserve">The AI Transformation Roadmap outlines specific initiatives to capitalise on these opportunities and counter identified threats.</w:t>
            </w:r>
          </w:p>
        </w:tc>
      </w:tr>
    </w:tbl>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6. Industry Patterns</w:t>
      </w:r>
    </w:p>
    <w:p>
      <w:pPr>
        <w:spacing w:after="160"/>
      </w:pPr>
      <w:r>
        <w:rPr>
          <w:rFonts w:ascii="DM Sans" w:cs="DM Sans" w:eastAsia="DM Sans" w:hAnsi="DM Sans"/>
          <w:color w:val="6B7280"/>
          <w:sz w:val="24"/>
          <w:szCs w:val="24"/>
        </w:rPr>
        <w:t xml:space="preserve">As a enterprise Professional, Scientific and Technical Services firm, AI disruption is reshaping the competitive landscape across operations, customer experience, workforce and compliance. The patterns below highlight where AI is creating the most impact for organisations in this sector.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Customer Experience AI</w:t>
            </w:r>
            <w:r>
              <w:t xml:space="preserve">   </w:t>
            </w:r>
            <w:r>
              <w:rPr>
                <w:rFonts w:ascii="DM Sans" w:cs="DM Sans" w:eastAsia="DM Sans" w:hAnsi="DM Sans"/>
                <w:b/>
                <w:bCs/>
                <w:color w:val="1792D5"/>
                <w:sz w:val="18"/>
                <w:szCs w:val="18"/>
                <w:shd w:fill="EBF4FD" w:color="EBF4FD" w:val="solid"/>
              </w:rPr>
              <w:t xml:space="preserve"> HIGH POTENTIAL </w:t>
            </w:r>
          </w:p>
          <w:p>
            <w:pPr>
              <w:spacing w:after="80"/>
            </w:pPr>
            <w:r>
              <w:rPr>
                <w:rFonts w:ascii="DM Sans" w:cs="DM Sans" w:eastAsia="DM Sans" w:hAnsi="DM Sans"/>
                <w:color w:val="6B7280"/>
                <w:sz w:val="24"/>
                <w:szCs w:val="24"/>
              </w:rPr>
              <w:t xml:space="preserve">Across Professional, Scientific and Technical Services, organisations are deploying AI-powered self-service portals, chatbots, automated quoting and personalised engagement. Customer expectations are shifting toward instant, personalised, always-on service. Organisations that lag risk losing clients to AI-enabled competitors. The opportunity is to serve customers better while reducing service delivery costs.</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AI Agents - Team Amplification</w:t>
            </w:r>
            <w:r>
              <w:t xml:space="preserve">   </w:t>
            </w:r>
            <w:r>
              <w:rPr>
                <w:rFonts w:ascii="DM Sans" w:cs="DM Sans" w:eastAsia="DM Sans" w:hAnsi="DM Sans"/>
                <w:b/>
                <w:bCs/>
                <w:color w:val="D4870E"/>
                <w:sz w:val="18"/>
                <w:szCs w:val="18"/>
                <w:shd w:fill="FEF7E8" w:color="FEF7E8" w:val="solid"/>
              </w:rPr>
              <w:t xml:space="preserve"> MEDIUM POTENTIAL </w:t>
            </w:r>
          </w:p>
          <w:p>
            <w:pPr>
              <w:spacing w:after="80"/>
            </w:pPr>
            <w:r>
              <w:rPr>
                <w:rFonts w:ascii="DM Sans" w:cs="DM Sans" w:eastAsia="DM Sans" w:hAnsi="DM Sans"/>
                <w:color w:val="6B7280"/>
                <w:sz w:val="24"/>
                <w:szCs w:val="24"/>
              </w:rPr>
              <w:t xml:space="preserve">In Professional, Scientific and Technical Services, analysts, consultants, project managers, business development and strategy teams typically spend significant time on research, analysis, first drafts and synthesis. AI agents working alongside these teams can multiply their throughput - a team of 5 operates like a team of 15. Same headcount, dramatically more output. At the enterprise scale, amplification agents deliver the most compelling ROI by unlocking latent capacity in an organisation's most expensive people.</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AI Agents - New Capabilities</w:t>
            </w:r>
            <w:r>
              <w:t xml:space="preserve">   </w:t>
            </w:r>
            <w:r>
              <w:rPr>
                <w:rFonts w:ascii="DM Sans" w:cs="DM Sans" w:eastAsia="DM Sans" w:hAnsi="DM Sans"/>
                <w:b/>
                <w:bCs/>
                <w:color w:val="D4870E"/>
                <w:sz w:val="18"/>
                <w:szCs w:val="18"/>
                <w:shd w:fill="FEF7E8" w:color="FEF7E8" w:val="solid"/>
              </w:rPr>
              <w:t xml:space="preserve"> MEDIUM POTENTIAL </w:t>
            </w:r>
          </w:p>
          <w:p>
            <w:pPr>
              <w:spacing w:after="80"/>
            </w:pPr>
            <w:r>
              <w:rPr>
                <w:rFonts w:ascii="DM Sans" w:cs="DM Sans" w:eastAsia="DM Sans" w:hAnsi="DM Sans"/>
                <w:color w:val="6B7280"/>
                <w:sz w:val="24"/>
                <w:szCs w:val="24"/>
              </w:rPr>
              <w:t xml:space="preserve">This is the most strategically compelling agent frame. Most organisations in Professional, Scientific and Technical Services cannot provide always-on personalised customer service, run continuous market intelligence, deliver proactive outreach at individual scale, or monitor competitive shifts in real time - not because the idea is new, but because the capacity required is prohibitive. AI agents change that equation entirely. They enable capabilities that would require 3-10x current headcount to deliver with people alone. The organisations that deploy expand-frame agents first gain capabilities their competitors literally cannot match.</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Compliance &amp; Risk AI</w:t>
            </w:r>
            <w:r>
              <w:t xml:space="preserve">   </w:t>
            </w:r>
            <w:r>
              <w:rPr>
                <w:rFonts w:ascii="DM Sans" w:cs="DM Sans" w:eastAsia="DM Sans" w:hAnsi="DM Sans"/>
                <w:b/>
                <w:bCs/>
                <w:color w:val="D4870E"/>
                <w:sz w:val="18"/>
                <w:szCs w:val="18"/>
                <w:shd w:fill="FEF7E8" w:color="FEF7E8" w:val="solid"/>
              </w:rPr>
              <w:t xml:space="preserve"> MEDIUM POTENTIAL </w:t>
            </w:r>
          </w:p>
          <w:p>
            <w:pPr>
              <w:spacing w:after="80"/>
            </w:pPr>
            <w:r>
              <w:rPr>
                <w:rFonts w:ascii="DM Sans" w:cs="DM Sans" w:eastAsia="DM Sans" w:hAnsi="DM Sans"/>
                <w:color w:val="6B7280"/>
                <w:sz w:val="24"/>
                <w:szCs w:val="24"/>
              </w:rPr>
              <w:t xml:space="preserve">Regulatory requirements, audit preparation, compliance documentation and risk monitoring in Professional, Scientific and Technical Services are increasing in complexity. AI-powered compliance monitoring, risk detection and audit preparation are becoming standard practice among leading organisations. The gap between AI-enabled compliance and manual processes is widening, creating both efficiency and risk exposure concerns.</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Build Your Own Systems</w:t>
            </w:r>
            <w:r>
              <w:t xml:space="preserve">   </w:t>
            </w:r>
            <w:r>
              <w:rPr>
                <w:rFonts w:ascii="DM Sans" w:cs="DM Sans" w:eastAsia="DM Sans" w:hAnsi="DM Sans"/>
                <w:b/>
                <w:bCs/>
                <w:color w:val="6B7280"/>
                <w:sz w:val="18"/>
                <w:szCs w:val="18"/>
                <w:shd w:fill="F1F3F5" w:color="F1F3F5" w:val="solid"/>
              </w:rPr>
              <w:t xml:space="preserve"> LOW POTENTIAL </w:t>
            </w:r>
          </w:p>
          <w:p>
            <w:pPr>
              <w:spacing w:after="80"/>
            </w:pPr>
            <w:r>
              <w:rPr>
                <w:rFonts w:ascii="DM Sans" w:cs="DM Sans" w:eastAsia="DM Sans" w:hAnsi="DM Sans"/>
                <w:color w:val="6B7280"/>
                <w:sz w:val="24"/>
                <w:szCs w:val="24"/>
              </w:rPr>
              <w:t xml:space="preserve">Organisations in Professional, Scientific and Technical Services at the enterprise scale typically spend significantly on SaaS subscriptions across CRM, project management, finance, HR, marketing and analytics. The economics have inverted: AI-accelerated development now makes it cheaper to build a purpose-built tool that fits the business than to rent a generic one for 12 months. Across the industry, payback periods under 18 months are common for departmental system replacements.</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AI Agents - Cost Reduction</w:t>
            </w:r>
            <w:r>
              <w:t xml:space="preserve">   </w:t>
            </w:r>
            <w:r>
              <w:rPr>
                <w:rFonts w:ascii="DM Sans" w:cs="DM Sans" w:eastAsia="DM Sans" w:hAnsi="DM Sans"/>
                <w:b/>
                <w:bCs/>
                <w:color w:val="6B7280"/>
                <w:sz w:val="18"/>
                <w:szCs w:val="18"/>
                <w:shd w:fill="F1F3F5" w:color="F1F3F5" w:val="solid"/>
              </w:rPr>
              <w:t xml:space="preserve"> LOW POTENTIAL </w:t>
            </w:r>
          </w:p>
          <w:p>
            <w:pPr>
              <w:spacing w:after="80"/>
            </w:pPr>
            <w:r>
              <w:rPr>
                <w:rFonts w:ascii="DM Sans" w:cs="DM Sans" w:eastAsia="DM Sans" w:hAnsi="DM Sans"/>
                <w:color w:val="6B7280"/>
                <w:sz w:val="24"/>
                <w:szCs w:val="24"/>
              </w:rPr>
              <w:t xml:space="preserve">In Professional, Scientific and Technical Services, a significant proportion of time is spent on repetitive, rule-based tasks: invoicing, data entry, compliance reporting, scheduling, procurement processing, payroll and HR administration. AI agents can now perform these tasks autonomously - not as tools people use, but as digital workers that complete tasks end-to-end. The cost of agent execution is a fraction of human execution for these tasks, directly reducing operational spend and freeing people for higher-value work.</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Borders>
              <w:top w:val="single" w:color="E9ECEF" w:sz="1"/>
              <w:left w:val="single" w:color="E9ECEF" w:sz="1"/>
              <w:bottom w:val="single" w:color="E9ECEF" w:sz="1"/>
              <w:right w:val="single" w:color="E9ECEF" w:sz="1"/>
            </w:tcBorders>
            <w:tcMar>
              <w:top w:type="dxa" w:w="144"/>
              <w:left w:type="dxa" w:w="215"/>
              <w:bottom w:type="dxa" w:w="144"/>
              <w:right w:type="dxa" w:w="215"/>
            </w:tcMar>
          </w:tcPr>
          <w:p>
            <w:pPr>
              <w:spacing w:after="160" w:before="80"/>
            </w:pPr>
            <w:r>
              <w:rPr>
                <w:rFonts w:ascii="Instrument Serif" w:cs="Instrument Serif" w:eastAsia="Instrument Serif" w:hAnsi="Instrument Serif"/>
                <w:b/>
                <w:bCs/>
                <w:color w:val="1A1F2E"/>
                <w:sz w:val="28"/>
                <w:szCs w:val="28"/>
              </w:rPr>
              <w:t xml:space="preserve">Revenue Growth with AI</w:t>
            </w:r>
            <w:r>
              <w:t xml:space="preserve">   </w:t>
            </w:r>
            <w:r>
              <w:rPr>
                <w:rFonts w:ascii="DM Sans" w:cs="DM Sans" w:eastAsia="DM Sans" w:hAnsi="DM Sans"/>
                <w:b/>
                <w:bCs/>
                <w:color w:val="6B7280"/>
                <w:sz w:val="18"/>
                <w:szCs w:val="18"/>
                <w:shd w:fill="F1F3F5" w:color="F1F3F5" w:val="solid"/>
              </w:rPr>
              <w:t xml:space="preserve"> LOW POTENTIAL </w:t>
            </w:r>
          </w:p>
          <w:p>
            <w:pPr>
              <w:spacing w:after="80"/>
            </w:pPr>
            <w:r>
              <w:rPr>
                <w:rFonts w:ascii="DM Sans" w:cs="DM Sans" w:eastAsia="DM Sans" w:hAnsi="DM Sans"/>
                <w:color w:val="6B7280"/>
                <w:sz w:val="24"/>
                <w:szCs w:val="24"/>
              </w:rPr>
              <w:t xml:space="preserve">AI is creating new revenue opportunities in Professional, Scientific and Technical Services through dynamic pricing, predictive analytics, personalised recommendations, automated lead scoring and content generation at scale. Organisations that deploy these capabilities are gaining measurable competitive advantage in their market.</w:t>
            </w:r>
          </w:p>
        </w:tc>
      </w:tr>
    </w:tbl>
    <w:p>
      <w:pPr>
        <w:spacing w:after="160"/>
      </w:pP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7. Peer Intelligence</w:t>
      </w:r>
    </w:p>
    <w:p>
      <w:pPr>
        <w:spacing w:after="160"/>
      </w:pPr>
      <w:r>
        <w:rPr>
          <w:rFonts w:ascii="DM Sans" w:cs="DM Sans" w:eastAsia="DM Sans" w:hAnsi="DM Sans"/>
          <w:color w:val="6B7280"/>
          <w:sz w:val="24"/>
          <w:szCs w:val="24"/>
        </w:rPr>
        <w:t xml:space="preserve">AI adoption signals detected from key competitors and industry peers.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Hartwell Partners (hartwellpartners.com.au)</w:t>
            </w:r>
            <w:r>
              <w:t xml:space="preserve">   </w:t>
            </w:r>
            <w:r>
              <w:rPr>
                <w:rFonts w:ascii="DM Sans" w:cs="DM Sans" w:eastAsia="DM Sans" w:hAnsi="DM Sans"/>
                <w:b/>
                <w:bCs/>
                <w:color w:val="6B7280"/>
                <w:sz w:val="18"/>
                <w:szCs w:val="18"/>
                <w:shd w:fill="F1F3F5" w:color="F1F3F5" w:val="solid"/>
              </w:rPr>
              <w:t xml:space="preserve"> INDUSTRY PEER </w:t>
            </w:r>
          </w:p>
          <w:p>
            <w:pPr>
              <w:pStyle w:val="ListParagraph"/>
              <w:numPr>
                <w:ilvl w:val="0"/>
                <w:numId w:val="1"/>
              </w:numPr>
              <w:spacing w:after="80"/>
            </w:pPr>
            <w:r>
              <w:rPr>
                <w:rFonts w:ascii="DM Sans" w:cs="DM Sans" w:eastAsia="DM Sans" w:hAnsi="DM Sans"/>
                <w:color w:val="6B7280"/>
                <w:sz w:val="24"/>
                <w:szCs w:val="24"/>
              </w:rPr>
              <w:t xml:space="preserve">Limited public AI adoption data available for Hartwell Partners (hartwellpartners.com.au)</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Veridian Strategy</w:t>
            </w:r>
            <w:r>
              <w:t xml:space="preserve">   </w:t>
            </w:r>
            <w:r>
              <w:rPr>
                <w:rFonts w:ascii="DM Sans" w:cs="DM Sans" w:eastAsia="DM Sans" w:hAnsi="DM Sans"/>
                <w:b/>
                <w:bCs/>
                <w:color w:val="6B7280"/>
                <w:sz w:val="18"/>
                <w:szCs w:val="18"/>
                <w:shd w:fill="F1F3F5" w:color="F1F3F5" w:val="solid"/>
              </w:rPr>
              <w:t xml:space="preserve"> INDUSTRY PEER </w:t>
            </w:r>
          </w:p>
          <w:p>
            <w:pPr>
              <w:pStyle w:val="ListParagraph"/>
              <w:numPr>
                <w:ilvl w:val="0"/>
                <w:numId w:val="1"/>
              </w:numPr>
              <w:spacing w:after="80"/>
            </w:pPr>
            <w:r>
              <w:rPr>
                <w:rFonts w:ascii="DM Sans" w:cs="DM Sans" w:eastAsia="DM Sans" w:hAnsi="DM Sans"/>
                <w:color w:val="6B7280"/>
                <w:sz w:val="24"/>
                <w:szCs w:val="24"/>
              </w:rPr>
              <w:t xml:space="preserve">Limited public AI adoption data available for Veridian Strategy</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Cresta Consulting</w:t>
            </w:r>
            <w:r>
              <w:t xml:space="preserve">   </w:t>
            </w:r>
            <w:r>
              <w:rPr>
                <w:rFonts w:ascii="DM Sans" w:cs="DM Sans" w:eastAsia="DM Sans" w:hAnsi="DM Sans"/>
                <w:b/>
                <w:bCs/>
                <w:color w:val="6B7280"/>
                <w:sz w:val="18"/>
                <w:szCs w:val="18"/>
                <w:shd w:fill="F1F3F5" w:color="F1F3F5" w:val="solid"/>
              </w:rPr>
              <w:t xml:space="preserve"> INDUSTRY PEER </w:t>
            </w:r>
          </w:p>
          <w:p>
            <w:pPr>
              <w:pStyle w:val="ListParagraph"/>
              <w:numPr>
                <w:ilvl w:val="0"/>
                <w:numId w:val="1"/>
              </w:numPr>
              <w:spacing w:after="80"/>
            </w:pPr>
            <w:r>
              <w:rPr>
                <w:rFonts w:ascii="DM Sans" w:cs="DM Sans" w:eastAsia="DM Sans" w:hAnsi="DM Sans"/>
                <w:color w:val="6B7280"/>
                <w:sz w:val="24"/>
                <w:szCs w:val="24"/>
              </w:rPr>
              <w:t xml:space="preserve">Limited public AI adoption data available for Cresta Consulting</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Lattice Advisory</w:t>
            </w:r>
            <w:r>
              <w:t xml:space="preserve">   </w:t>
            </w:r>
            <w:r>
              <w:rPr>
                <w:rFonts w:ascii="DM Sans" w:cs="DM Sans" w:eastAsia="DM Sans" w:hAnsi="DM Sans"/>
                <w:b/>
                <w:bCs/>
                <w:color w:val="6B7280"/>
                <w:sz w:val="18"/>
                <w:szCs w:val="18"/>
                <w:shd w:fill="F1F3F5" w:color="F1F3F5" w:val="solid"/>
              </w:rPr>
              <w:t xml:space="preserve"> INDUSTRY PEER </w:t>
            </w:r>
          </w:p>
          <w:p>
            <w:pPr>
              <w:pStyle w:val="ListParagraph"/>
              <w:numPr>
                <w:ilvl w:val="0"/>
                <w:numId w:val="1"/>
              </w:numPr>
              <w:spacing w:after="80"/>
            </w:pPr>
            <w:r>
              <w:rPr>
                <w:rFonts w:ascii="DM Sans" w:cs="DM Sans" w:eastAsia="DM Sans" w:hAnsi="DM Sans"/>
                <w:color w:val="6B7280"/>
                <w:sz w:val="24"/>
                <w:szCs w:val="24"/>
              </w:rPr>
              <w:t xml:space="preserve">Limited public AI adoption data available for Lattice Advisory</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1792D5"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1A1F2E"/>
                <w:sz w:val="26"/>
                <w:szCs w:val="26"/>
              </w:rPr>
              <w:t xml:space="preserve">Beacon Group</w:t>
            </w:r>
            <w:r>
              <w:t xml:space="preserve">   </w:t>
            </w:r>
            <w:r>
              <w:rPr>
                <w:rFonts w:ascii="DM Sans" w:cs="DM Sans" w:eastAsia="DM Sans" w:hAnsi="DM Sans"/>
                <w:b/>
                <w:bCs/>
                <w:color w:val="6B7280"/>
                <w:sz w:val="18"/>
                <w:szCs w:val="18"/>
                <w:shd w:fill="F1F3F5" w:color="F1F3F5" w:val="solid"/>
              </w:rPr>
              <w:t xml:space="preserve"> INDUSTRY PEER </w:t>
            </w:r>
          </w:p>
          <w:p>
            <w:pPr>
              <w:pStyle w:val="ListParagraph"/>
              <w:numPr>
                <w:ilvl w:val="0"/>
                <w:numId w:val="1"/>
              </w:numPr>
              <w:spacing w:after="80"/>
            </w:pPr>
            <w:r>
              <w:rPr>
                <w:rFonts w:ascii="DM Sans" w:cs="DM Sans" w:eastAsia="DM Sans" w:hAnsi="DM Sans"/>
                <w:color w:val="6B7280"/>
                <w:sz w:val="24"/>
                <w:szCs w:val="24"/>
              </w:rPr>
              <w:t xml:space="preserve">Limited public AI adoption data available for Beacon Group</w:t>
            </w:r>
          </w:p>
        </w:tc>
      </w:tr>
    </w:tbl>
    <w:p>
      <w:pPr>
        <w:spacing w:after="16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9ECEF" w:sz="1"/>
              <w:left w:val="single" w:color="E9ECEF" w:sz="1"/>
              <w:bottom w:val="single" w:color="E9ECEF" w:sz="1"/>
              <w:right w:val="single" w:color="E9ECEF" w:sz="1"/>
            </w:tcBorders>
            <w:shd w:fill="F8F9FA" w:color="F8F9FA" w:val="solid"/>
          </w:tcPr>
          <w:p>
            <w:pPr>
              <w:spacing w:after="80" w:before="240"/>
            </w:pPr>
            <w:r>
              <w:rPr>
                <w:rFonts w:ascii="Instrument Serif" w:cs="Instrument Serif" w:eastAsia="Instrument Serif" w:hAnsi="Instrument Serif"/>
                <w:b/>
                <w:bCs/>
                <w:color w:val="1A1F2E"/>
                <w:sz w:val="26"/>
                <w:szCs w:val="26"/>
              </w:rPr>
              <w:t xml:space="preserve">AI Adoption Gap</w:t>
            </w:r>
          </w:p>
          <w:p>
            <w:pPr>
              <w:spacing w:after="240"/>
            </w:pPr>
            <w:r>
              <w:rPr>
                <w:rFonts w:ascii="DM Sans" w:cs="DM Sans" w:eastAsia="DM Sans" w:hAnsi="DM Sans"/>
                <w:color w:val="6B7280"/>
                <w:sz w:val="24"/>
                <w:szCs w:val="24"/>
              </w:rPr>
              <w:t xml:space="preserve">Because no AI adoption signals were found for any named peer in the search results, it is not possible to identify specific gaps or advantages for Northwind Advisory relative to this group. Any assessment of Northwind Advisory's relative AI maturity versus these peers would require additional data sources beyond what was returned. The competitive AI landscape among comparable Australian branding and advisory firms remains opaque based on current evidence.</w:t>
            </w:r>
          </w:p>
        </w:tc>
      </w:tr>
    </w:tbl>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What This Means</w:t>
      </w:r>
    </w:p>
    <w:p>
      <w:pPr>
        <w:spacing w:after="160"/>
      </w:pPr>
      <w:r>
        <w:rPr>
          <w:rFonts w:ascii="DM Sans" w:cs="DM Sans" w:eastAsia="DM Sans" w:hAnsi="DM Sans"/>
          <w:color w:val="374151"/>
          <w:sz w:val="24"/>
          <w:szCs w:val="24"/>
        </w:rPr>
        <w:t xml:space="preserve">With a disruption score of 75/100, Northwind Advisory faces high alert AI disruption exposure. This assessment has identified 8 priority threats and 8 strategic opportunities that warrant leadership attention.</w:t>
      </w:r>
    </w:p>
    <w:p>
      <w:pPr>
        <w:spacing w:after="160"/>
      </w:pPr>
      <w:r>
        <w:rPr>
          <w:rFonts w:ascii="DM Sans" w:cs="DM Sans" w:eastAsia="DM Sans" w:hAnsi="DM Sans"/>
          <w:color w:val="374151"/>
          <w:sz w:val="24"/>
          <w:szCs w:val="24"/>
        </w:rPr>
        <w:t xml:space="preserve">The threats identified in this snapshot are not hypothetical - they represent active shifts already visible in your competitive landscape. The highest-severity threat, "Generative AI Directly Commoditises Core Advisory Revenue", operates on a Now–12 months timeframe, meaning the window for proactive response is limited. Simultaneously, the opportunities - particularly "Reposition as AI-Augmented Advisory Firm, Not Analysis Executor" - represent areas where early action can create compounding advantage.</w:t>
      </w:r>
    </w:p>
    <w:p>
      <w:pPr>
        <w:spacing w:after="160"/>
      </w:pPr>
      <w:r>
        <w:rPr>
          <w:rFonts w:ascii="DM Sans" w:cs="DM Sans" w:eastAsia="DM Sans" w:hAnsi="DM Sans"/>
          <w:color w:val="374151"/>
          <w:sz w:val="24"/>
          <w:szCs w:val="24"/>
        </w:rPr>
        <w:t xml:space="preserve">Organisations in comparable sectors that delay AI transformation by 12 to 18 months typically find the cost of catching up significantly exceeds the cost of leading. The competitive landscape is not static - peers are actively investing, and the AI capability gap widens with every quarter of inaction. Conversely, organisations that act decisively during this window can establish positions that become increasingly difficult for competitors to match.</w:t>
      </w:r>
    </w:p>
    <w:p>
      <w:pPr>
        <w:spacing w:after="160"/>
      </w:pPr>
      <w:r>
        <w:rPr>
          <w:rFonts w:ascii="DM Sans" w:cs="DM Sans" w:eastAsia="DM Sans" w:hAnsi="DM Sans"/>
          <w:color w:val="374151"/>
          <w:sz w:val="24"/>
          <w:szCs w:val="24"/>
        </w:rPr>
        <w:t xml:space="preserve">This snapshot provides the diagnosis. The next step is to develop a comprehensive strategy through the AI Disruption Analysis (detailed threat and opportunity assessment), AI Strategy Canvas (strategic direction), and AI Transformation Roadmap (sequenced execution plan with initiative detail, agent deployment specifications, and financial analysis).</w:t>
      </w:r>
    </w:p>
    <w:p>
      <w:pPr>
        <w:spacing w:after="320"/>
      </w:pP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Recommended Next Steps</w:t>
      </w:r>
    </w:p>
    <w:p>
      <w:pPr>
        <w:spacing w:after="240"/>
        <w:ind w:left="172" w:hanging="172"/>
      </w:pPr>
      <w:r>
        <w:rPr>
          <w:rFonts w:ascii="DM Sans" w:cs="DM Sans" w:eastAsia="DM Sans" w:hAnsi="DM Sans"/>
          <w:b/>
          <w:bCs/>
          <w:color w:val="1792D5"/>
          <w:sz w:val="24"/>
          <w:szCs w:val="24"/>
        </w:rPr>
        <w:t xml:space="preserve">1. </w:t>
      </w:r>
      <w:r>
        <w:rPr>
          <w:rFonts w:ascii="DM Sans" w:cs="DM Sans" w:eastAsia="DM Sans" w:hAnsi="DM Sans"/>
          <w:color w:val="374151"/>
          <w:sz w:val="24"/>
          <w:szCs w:val="24"/>
        </w:rPr>
        <w:t xml:space="preserve">Share this snapshot with your leadership team to start the conversation about AI readiness and strategic priorities.</w:t>
      </w:r>
    </w:p>
    <w:p>
      <w:pPr>
        <w:spacing w:after="240"/>
        <w:ind w:left="172" w:hanging="172"/>
      </w:pPr>
      <w:r>
        <w:rPr>
          <w:rFonts w:ascii="DM Sans" w:cs="DM Sans" w:eastAsia="DM Sans" w:hAnsi="DM Sans"/>
          <w:b/>
          <w:bCs/>
          <w:color w:val="1792D5"/>
          <w:sz w:val="24"/>
          <w:szCs w:val="24"/>
        </w:rPr>
        <w:t xml:space="preserve">2. </w:t>
      </w:r>
      <w:r>
        <w:rPr>
          <w:rFonts w:ascii="DM Sans" w:cs="DM Sans" w:eastAsia="DM Sans" w:hAnsi="DM Sans"/>
          <w:color w:val="374151"/>
          <w:sz w:val="24"/>
          <w:szCs w:val="24"/>
        </w:rPr>
        <w:t xml:space="preserve">Discuss the identified top threats and opportunities from the analysis and evaluate alignment with your current thinking and the need for potential action.</w:t>
      </w:r>
    </w:p>
    <w:p>
      <w:pPr>
        <w:spacing w:after="240"/>
        <w:ind w:left="172" w:hanging="172"/>
      </w:pPr>
      <w:r>
        <w:rPr>
          <w:rFonts w:ascii="DM Sans" w:cs="DM Sans" w:eastAsia="DM Sans" w:hAnsi="DM Sans"/>
          <w:b/>
          <w:bCs/>
          <w:color w:val="1792D5"/>
          <w:sz w:val="24"/>
          <w:szCs w:val="24"/>
        </w:rPr>
        <w:t xml:space="preserve">3. </w:t>
      </w:r>
      <w:r>
        <w:rPr>
          <w:rFonts w:ascii="DM Sans" w:cs="DM Sans" w:eastAsia="DM Sans" w:hAnsi="DM Sans"/>
          <w:color w:val="374151"/>
          <w:sz w:val="24"/>
          <w:szCs w:val="24"/>
        </w:rPr>
        <w:t xml:space="preserve">Work with the myAIstrategy AI advisors to develop your complete AI Strategy - including AI Disruption Analysis, AI Strategy Canvas, and AI Transformation Roadmap.</w:t>
      </w:r>
    </w:p>
    <w:p>
      <w:r>
        <w:br w:type="page"/>
      </w:r>
    </w:p>
    <w:p>
      <w:pPr>
        <w:keepNext/>
        <w:pBdr>
          <w:bottom w:val="single" w:color="0F1B2D" w:sz="6" w:space="4"/>
        </w:pBdr>
        <w:spacing w:after="240" w:before="640"/>
      </w:pPr>
      <w:r>
        <w:rPr>
          <w:rFonts w:ascii="Instrument Serif" w:cs="Instrument Serif" w:eastAsia="Instrument Serif" w:hAnsi="Instrument Serif"/>
          <w:b/>
          <w:bCs/>
          <w:color w:val="0F1B2D"/>
          <w:sz w:val="40"/>
          <w:szCs w:val="40"/>
        </w:rPr>
        <w:t xml:space="preserve">Appendix: Methodology</w:t>
      </w:r>
    </w:p>
    <w:p>
      <w:pPr>
        <w:keepNext/>
        <w:spacing w:after="80" w:before="320"/>
      </w:pPr>
      <w:r>
        <w:rPr>
          <w:rFonts w:ascii="Instrument Serif" w:cs="Instrument Serif" w:eastAsia="Instrument Serif" w:hAnsi="Instrument Serif"/>
          <w:b/>
          <w:bCs/>
          <w:color w:val="1A1F2E"/>
          <w:sz w:val="28"/>
          <w:szCs w:val="28"/>
        </w:rPr>
        <w:t xml:space="preserve">How the AI Disruption Score is Calculated</w:t>
      </w:r>
    </w:p>
    <w:p>
      <w:pPr>
        <w:spacing w:after="160"/>
      </w:pPr>
      <w:r>
        <w:rPr>
          <w:rFonts w:ascii="DM Sans" w:cs="DM Sans" w:eastAsia="DM Sans" w:hAnsi="DM Sans"/>
          <w:color w:val="374151"/>
          <w:sz w:val="24"/>
          <w:szCs w:val="24"/>
        </w:rPr>
        <w:t xml:space="preserve">The AI Disruption Score (0-100) measures how significantly AI is likely to reshape your organisation's operating environment over the next 12 to 36 months. It is not a measure of AI readiness, maturity, or capability — it measures external disruption pressure. A high score means AI is reshaping your competitive landscape rapidly, regardless of how prepared you are to respond.</w:t>
      </w:r>
    </w:p>
    <w:p>
      <w:pPr>
        <w:keepNext/>
        <w:spacing w:after="80" w:before="320"/>
      </w:pPr>
      <w:r>
        <w:rPr>
          <w:rFonts w:ascii="Instrument Serif" w:cs="Instrument Serif" w:eastAsia="Instrument Serif" w:hAnsi="Instrument Serif"/>
          <w:b/>
          <w:bCs/>
          <w:color w:val="1A1F2E"/>
          <w:sz w:val="28"/>
          <w:szCs w:val="28"/>
        </w:rPr>
        <w:t xml:space="preserve">Eight Weighted Dimensions</w:t>
      </w:r>
    </w:p>
    <w:p>
      <w:pPr>
        <w:spacing w:after="160"/>
      </w:pPr>
      <w:r>
        <w:rPr>
          <w:rFonts w:ascii="DM Sans" w:cs="DM Sans" w:eastAsia="DM Sans" w:hAnsi="DM Sans"/>
          <w:color w:val="374151"/>
          <w:sz w:val="24"/>
          <w:szCs w:val="24"/>
        </w:rPr>
        <w:t xml:space="preserve">The score is calculated across eight dimensions, each scored 1-10 by the analysis engine using calibrated rubrics and a benchmark set of 19 Australian organisations across sectors. The dimensions are grouped into three categories: Exposure (how much pressure AI creates), Opportunity (how much upside AI offers), and Defensibility (how protected the organisation is from AI disruption). Each dimension carries a weight reflecting its relative importance to overall disruption exposure. The weighted scores are combined to produce the headline AI Disruption Score.</w:t>
      </w:r>
    </w:p>
    <w:p>
      <w:pPr>
        <w:keepNext/>
        <w:spacing w:after="80" w:before="320"/>
      </w:pPr>
      <w:r>
        <w:rPr>
          <w:rFonts w:ascii="Instrument Serif" w:cs="Instrument Serif" w:eastAsia="Instrument Serif" w:hAnsi="Instrument Serif"/>
          <w:b/>
          <w:bCs/>
          <w:color w:val="1A1F2E"/>
          <w:sz w:val="28"/>
          <w:szCs w:val="28"/>
        </w:rPr>
        <w:t xml:space="preserve">Data Sources</w:t>
      </w:r>
    </w:p>
    <w:p>
      <w:pPr>
        <w:spacing w:after="160"/>
      </w:pPr>
      <w:r>
        <w:rPr>
          <w:rFonts w:ascii="DM Sans" w:cs="DM Sans" w:eastAsia="DM Sans" w:hAnsi="DM Sans"/>
          <w:color w:val="374151"/>
          <w:sz w:val="24"/>
          <w:szCs w:val="24"/>
        </w:rPr>
        <w:t xml:space="preserve">The analysis draws on multiple data sources: automated website crawling and technology stack analysis, public data research including financial filings, news coverage, job postings, and competitor intelligence via the Brave Search API. Industry benchmarks are derived from a calibrated set of 19 Australian organisations spanning financial services, government, education, healthcare, retail, and professional services. All data is point-in-time and reflects publicly available information at the date of analysis.</w:t>
      </w:r>
    </w:p>
    <w:p>
      <w:pPr>
        <w:keepNext/>
        <w:spacing w:after="80" w:before="320"/>
      </w:pPr>
      <w:r>
        <w:rPr>
          <w:rFonts w:ascii="Instrument Serif" w:cs="Instrument Serif" w:eastAsia="Instrument Serif" w:hAnsi="Instrument Serif"/>
          <w:b/>
          <w:bCs/>
          <w:color w:val="1A1F2E"/>
          <w:sz w:val="28"/>
          <w:szCs w:val="28"/>
        </w:rPr>
        <w:t xml:space="preserve">Peer Intelligence</w:t>
      </w:r>
    </w:p>
    <w:p>
      <w:pPr>
        <w:spacing w:after="160"/>
      </w:pPr>
      <w:r>
        <w:rPr>
          <w:rFonts w:ascii="DM Sans" w:cs="DM Sans" w:eastAsia="DM Sans" w:hAnsi="DM Sans"/>
          <w:color w:val="374151"/>
          <w:sz w:val="24"/>
          <w:szCs w:val="24"/>
        </w:rPr>
        <w:t xml:space="preserve">Peer organisations are identified through industry classification and competitive analysis. AI adoption signals are detected from public sources including press releases, job postings (AI/ML roles, data engineering positions), technology partnerships, product announcements, and industry conference presentations. Signals are point-in-time and may not reflect internal AI programmes that have not been publicly disclosed.</w:t>
      </w:r>
    </w:p>
    <w:p>
      <w:pPr>
        <w:keepNext/>
        <w:spacing w:after="80" w:before="320"/>
      </w:pPr>
      <w:r>
        <w:rPr>
          <w:rFonts w:ascii="Instrument Serif" w:cs="Instrument Serif" w:eastAsia="Instrument Serif" w:hAnsi="Instrument Serif"/>
          <w:b/>
          <w:bCs/>
          <w:color w:val="1A1F2E"/>
          <w:sz w:val="28"/>
          <w:szCs w:val="28"/>
        </w:rPr>
        <w:t xml:space="preserve">Limitations</w:t>
      </w:r>
    </w:p>
    <w:p>
      <w:pPr>
        <w:spacing w:after="160"/>
      </w:pPr>
      <w:r>
        <w:rPr>
          <w:rFonts w:ascii="DM Sans" w:cs="DM Sans" w:eastAsia="DM Sans" w:hAnsi="DM Sans"/>
          <w:color w:val="374151"/>
          <w:sz w:val="24"/>
          <w:szCs w:val="24"/>
        </w:rPr>
        <w:t xml:space="preserve">This analysis is based on publicly available information and industry benchmarks. It does not incorporate proprietary organisational data unless provided through the strategy workshop process. Financial estimates labelled as "desktop estimates" are directional indicators derived from industry ratios and should not be treated as forecasts. The AI disruption landscape is evolving rapidly — scores and analysis reflect conditions at the date of generation and should be reviewed at least quarterly.</w:t>
      </w:r>
    </w:p>
    <w:p>
      <w:pPr>
        <w:keepNext/>
        <w:spacing w:after="80" w:before="320"/>
      </w:pPr>
      <w:r>
        <w:rPr>
          <w:rFonts w:ascii="Instrument Serif" w:cs="Instrument Serif" w:eastAsia="Instrument Serif" w:hAnsi="Instrument Serif"/>
          <w:b/>
          <w:bCs/>
          <w:color w:val="1A1F2E"/>
          <w:sz w:val="28"/>
          <w:szCs w:val="28"/>
        </w:rPr>
        <w:t xml:space="preserve">Score Band Definitions</w:t>
      </w:r>
    </w:p>
    <w:p>
      <w:pPr>
        <w:spacing w:after="160"/>
      </w:pPr>
      <w:r>
        <w:rPr>
          <w:rFonts w:ascii="DM Sans" w:cs="DM Sans" w:eastAsia="DM Sans" w:hAnsi="DM Sans"/>
          <w:color w:val="374151"/>
          <w:sz w:val="24"/>
          <w:szCs w:val="24"/>
        </w:rPr>
        <w:t xml:space="preserve">The AI Disruption Score maps to six bands, each representing a different level of external AI pressure and a corresponding strategic posture.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4DABCF"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4DABCF"/>
                <w:sz w:val="26"/>
                <w:szCs w:val="26"/>
              </w:rPr>
              <w:t xml:space="preserve">0-39  </w:t>
            </w:r>
            <w:r>
              <w:rPr>
                <w:rFonts w:ascii="Instrument Serif" w:cs="Instrument Serif" w:eastAsia="Instrument Serif" w:hAnsi="Instrument Serif"/>
                <w:b/>
                <w:bCs/>
                <w:color w:val="1A1F2E"/>
                <w:sz w:val="26"/>
                <w:szCs w:val="26"/>
              </w:rPr>
              <w:t xml:space="preserve">Low</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operates in a sector where AI disruption pressure is currently limited. Core business models, customer relationships, and operational processes face minimal immediate threat from AI-native competitors. This does not mean AI is irrelevant — it means the urgency is lower and the organisation has time to build foundations deliberately.</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Focus on opportunistic AI adoption — efficiency gains, data quality improvements, and capability building — rather than defensive transformation. Use this window to build AI literacy and data infrastructure that will accelerate response when market pressure increases.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0073E6"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0073E6"/>
                <w:sz w:val="26"/>
                <w:szCs w:val="26"/>
              </w:rPr>
              <w:t xml:space="preserve">40-54  </w:t>
            </w:r>
            <w:r>
              <w:rPr>
                <w:rFonts w:ascii="Instrument Serif" w:cs="Instrument Serif" w:eastAsia="Instrument Serif" w:hAnsi="Instrument Serif"/>
                <w:b/>
                <w:bCs/>
                <w:color w:val="1A1F2E"/>
                <w:sz w:val="26"/>
                <w:szCs w:val="26"/>
              </w:rPr>
              <w:t xml:space="preserve">Low-Moderate</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emerging but manageable AI disruption pressure. Some aspects of the business model, operations, or competitive landscape are beginning to shift due to AI, but the changes are not yet existential. Competitors are exploring AI but few have achieved transformative scale.</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This is the strategic sweet spot for AI investment — pressure is visible enough to justify action but not so acute that decisions must be rushed. Organisations that invest during this phase typically achieve the best return on AI transformation because they can be deliberate about priorities, build on existing strengths, and avoid the premium costs of reactive transformation.</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D4870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D4870E"/>
                <w:sz w:val="26"/>
                <w:szCs w:val="26"/>
              </w:rPr>
              <w:t xml:space="preserve">55-64  </w:t>
            </w:r>
            <w:r>
              <w:rPr>
                <w:rFonts w:ascii="Instrument Serif" w:cs="Instrument Serif" w:eastAsia="Instrument Serif" w:hAnsi="Instrument Serif"/>
                <w:b/>
                <w:bCs/>
                <w:color w:val="1A1F2E"/>
                <w:sz w:val="26"/>
                <w:szCs w:val="26"/>
              </w:rPr>
              <w:t xml:space="preserve">Moderate</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meaningful AI disruption across multiple dimensions. Competitors are actively deploying AI capabilities, customer expectations are shifting, and operational efficiency gaps are becoming visible. The pace of change is accelerating and the cost of delay is growing.</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Action is needed within the next 6-12 months on priority areas. The organisation should move beyond exploration into structured AI deployment, starting with the highest-impact use cases identified in the threat and opportunity analysis. Delay beyond 12 months risks competitive erosion that becomes progressively more expensive to reverse.</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76A1E"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C76A1E"/>
                <w:sz w:val="26"/>
                <w:szCs w:val="26"/>
              </w:rPr>
              <w:t xml:space="preserve">65-74  </w:t>
            </w:r>
            <w:r>
              <w:rPr>
                <w:rFonts w:ascii="Instrument Serif" w:cs="Instrument Serif" w:eastAsia="Instrument Serif" w:hAnsi="Instrument Serif"/>
                <w:b/>
                <w:bCs/>
                <w:color w:val="1A1F2E"/>
                <w:sz w:val="26"/>
                <w:szCs w:val="26"/>
              </w:rPr>
              <w:t xml:space="preserve">Significant</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substantial AI disruption pressure. Multiple dimensions of the business — operations, customer experience, competitive positioning, and workforce — are being reshaped by AI simultaneously. Competitors with AI capability are gaining measurable advantages in cost, speed, and quality.</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Urgent, structured response required. The organisation needs a comprehensive AI strategy, not isolated initiatives. Executive sponsorship, dedicated resources, and a sequenced transformation roadmap are essential. The cost of inaction is now compounding — each quarter of delay makes the gap harder and more expensive to close.</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C0392B"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C0392B"/>
                <w:sz w:val="26"/>
                <w:szCs w:val="26"/>
              </w:rPr>
              <w:t xml:space="preserve">75-89  </w:t>
            </w:r>
            <w:r>
              <w:rPr>
                <w:rFonts w:ascii="Instrument Serif" w:cs="Instrument Serif" w:eastAsia="Instrument Serif" w:hAnsi="Instrument Serif"/>
                <w:b/>
                <w:bCs/>
                <w:color w:val="1A1F2E"/>
                <w:sz w:val="26"/>
                <w:szCs w:val="26"/>
              </w:rPr>
              <w:t xml:space="preserve">High Alert</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 faces intense AI disruption pressure. The competitive landscape is being fundamentally reshaped by AI-native entrants and AI-augmented incumbents. Significant portions of the current operating model, workforce structure, and customer value proposition are at risk of obsolescence within 12-24 months.</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Immediate, decisive action required. This is not a gradual transition — it requires board-level commitment, significant investment, and willingness to make difficult trade-offs. Organisations at this level that delay by even 6 months typically find the competitive gap becomes extremely difficult to close. Prioritise defensive initiatives (protecting revenue and market position) alongside offensive opportunities.</w:t>
            </w:r>
          </w:p>
        </w:tc>
      </w:tr>
    </w:tbl>
    <w:p>
      <w:pPr>
        <w:spacing w:after="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rPr>
          <w:cantSplit/>
        </w:trPr>
        <w:tc>
          <w:tcPr>
            <w:tcW w:type="pct" w:w="100%"/>
            <w:tcBorders>
              <w:top w:val="single" w:color="E9ECEF" w:sz="1"/>
              <w:left w:val="single" w:color="8B1A1A" w:sz="18"/>
              <w:bottom w:val="single" w:color="E9ECEF" w:sz="1"/>
              <w:right w:val="single" w:color="E9ECEF" w:sz="1"/>
            </w:tcBorders>
            <w:shd w:fill="F8F9FA" w:color="F8F9FA" w:val="solid"/>
            <w:tcMar>
              <w:top w:type="dxa" w:w="144"/>
              <w:left w:type="dxa" w:w="215"/>
              <w:bottom w:type="dxa" w:w="144"/>
              <w:right w:type="dxa" w:w="215"/>
            </w:tcMar>
          </w:tcPr>
          <w:p>
            <w:pPr>
              <w:spacing w:after="80" w:before="160"/>
            </w:pPr>
            <w:r>
              <w:rPr>
                <w:rFonts w:ascii="Instrument Serif" w:cs="Instrument Serif" w:eastAsia="Instrument Serif" w:hAnsi="Instrument Serif"/>
                <w:b/>
                <w:bCs/>
                <w:color w:val="8B1A1A"/>
                <w:sz w:val="26"/>
                <w:szCs w:val="26"/>
              </w:rPr>
              <w:t xml:space="preserve">90-100  </w:t>
            </w:r>
            <w:r>
              <w:rPr>
                <w:rFonts w:ascii="Instrument Serif" w:cs="Instrument Serif" w:eastAsia="Instrument Serif" w:hAnsi="Instrument Serif"/>
                <w:b/>
                <w:bCs/>
                <w:color w:val="1A1F2E"/>
                <w:sz w:val="26"/>
                <w:szCs w:val="26"/>
              </w:rPr>
              <w:t xml:space="preserve">Critical</w:t>
            </w:r>
          </w:p>
          <w:p>
            <w:pPr>
              <w:spacing w:after="80"/>
            </w:pPr>
            <w:r>
              <w:rPr>
                <w:rFonts w:ascii="DM Sans" w:cs="DM Sans" w:eastAsia="DM Sans" w:hAnsi="DM Sans"/>
                <w:b/>
                <w:bCs/>
                <w:color w:val="374151"/>
                <w:sz w:val="24"/>
                <w:szCs w:val="24"/>
              </w:rPr>
              <w:t xml:space="preserve">What it means: </w:t>
            </w:r>
            <w:r>
              <w:rPr>
                <w:rFonts w:ascii="DM Sans" w:cs="DM Sans" w:eastAsia="DM Sans" w:hAnsi="DM Sans"/>
                <w:color w:val="374151"/>
                <w:sz w:val="24"/>
                <w:szCs w:val="24"/>
              </w:rPr>
              <w:t xml:space="preserve">The organisation's core business model faces existential AI disruption. AI-native competitors can deliver the same value proposition at dramatically lower cost, customer expectations have already shifted, and the current operating model is becoming unviable. The question is not whether to transform but whether the organisation can transform fast enough.</w:t>
            </w:r>
          </w:p>
          <w:p>
            <w:pPr>
              <w:spacing w:after="160"/>
            </w:pPr>
            <w:r>
              <w:rPr>
                <w:rFonts w:ascii="DM Sans" w:cs="DM Sans" w:eastAsia="DM Sans" w:hAnsi="DM Sans"/>
                <w:b/>
                <w:bCs/>
                <w:color w:val="374151"/>
                <w:sz w:val="24"/>
                <w:szCs w:val="24"/>
              </w:rPr>
              <w:t xml:space="preserve">Implication: </w:t>
            </w:r>
            <w:r>
              <w:rPr>
                <w:rFonts w:ascii="DM Sans" w:cs="DM Sans" w:eastAsia="DM Sans" w:hAnsi="DM Sans"/>
                <w:color w:val="374151"/>
                <w:sz w:val="24"/>
                <w:szCs w:val="24"/>
              </w:rPr>
              <w:t xml:space="preserve">Existential response required. The organisation must treat AI transformation as a survival imperative, not a strategic option. This likely requires fundamental business model innovation, not incremental improvement. Board and executive alignment on transformation scope, pace, and investment is the critical first step.</w:t>
            </w:r>
          </w:p>
        </w:tc>
      </w:tr>
    </w:tbl>
    <w:p>
      <w:pPr>
        <w:spacing w:after="80"/>
      </w:pPr>
    </w:p>
    <w:p>
      <w:r>
        <w:br w:type="page"/>
      </w:r>
    </w:p>
    <w:p>
      <w:pPr>
        <w:spacing w:after="160"/>
      </w:pPr>
      <w:r>
        <w:rPr>
          <w:rFonts w:ascii="DM Sans" w:cs="DM Sans" w:eastAsia="DM Sans" w:hAnsi="DM Sans"/>
          <w:b/>
          <w:bCs/>
          <w:color w:val="0F1B2D"/>
          <w:spacing w:val="60"/>
          <w:sz w:val="20"/>
          <w:szCs w:val="20"/>
        </w:rPr>
        <w:t xml:space="preserve">DISCLAIMER AND USAGE</w:t>
      </w:r>
    </w:p>
    <w:p>
      <w:pPr>
        <w:pBdr>
          <w:bottom w:val="single" w:color="E9ECEF" w:sz="1" w:space="1"/>
        </w:pBdr>
        <w:spacing w:after="320" w:before="320"/>
      </w:pPr>
    </w:p>
    <w:p>
      <w:pPr>
        <w:spacing w:after="160"/>
      </w:pPr>
      <w:r>
        <w:rPr>
          <w:rFonts w:ascii="DM Sans" w:cs="DM Sans" w:eastAsia="DM Sans" w:hAnsi="DM Sans"/>
          <w:color w:val="374151"/>
          <w:sz w:val="24"/>
          <w:szCs w:val="24"/>
        </w:rPr>
        <w:t xml:space="preserve">This document was produced by myAIstrategy, an AI-powered strategic assessment platform operated by High Impact Group Pty Ltd (ABN 40 682 923 128). The analysis draws on publicly available information, industry benchmarks and automated research including financial filings, news, job postings and competitor signals. No proprietary or confidential data from the subject organisation was used in its preparation.</w:t>
      </w:r>
    </w:p>
    <w:p>
      <w:pPr>
        <w:spacing w:after="160"/>
      </w:pPr>
      <w:r>
        <w:rPr>
          <w:rFonts w:ascii="DM Sans" w:cs="DM Sans" w:eastAsia="DM Sans" w:hAnsi="DM Sans"/>
          <w:color w:val="374151"/>
          <w:sz w:val="24"/>
          <w:szCs w:val="24"/>
        </w:rPr>
        <w:t xml:space="preserve">All financial estimates referenced as "desktop estimates" are directional indicators derived from industry ratios and public data. They are not forecasts and should not be treated as such. Figures will differ from actual organisational data, which the platform's guided strategy process is designed to incorporate.</w:t>
      </w:r>
    </w:p>
    <w:p>
      <w:pPr>
        <w:spacing w:after="160"/>
      </w:pPr>
      <w:r>
        <w:rPr>
          <w:rFonts w:ascii="DM Sans" w:cs="DM Sans" w:eastAsia="DM Sans" w:hAnsi="DM Sans"/>
          <w:color w:val="374151"/>
          <w:sz w:val="24"/>
          <w:szCs w:val="24"/>
        </w:rPr>
        <w:t xml:space="preserve">This document does not constitute financial, legal, investment or professional advice. It is provided to support internal strategic discussion and should be interpreted in the context of your organisation's specific circumstances, risk appetite and regulatory obligations. Independent professional advice should be sought before acting on any finding or recommendation.</w:t>
      </w:r>
    </w:p>
    <w:p>
      <w:pPr>
        <w:spacing w:after="160"/>
      </w:pPr>
      <w:r>
        <w:rPr>
          <w:rFonts w:ascii="DM Sans" w:cs="DM Sans" w:eastAsia="DM Sans" w:hAnsi="DM Sans"/>
          <w:color w:val="374151"/>
          <w:sz w:val="24"/>
          <w:szCs w:val="24"/>
        </w:rPr>
        <w:t xml:space="preserve">This document is confidential to the organisation named on the cover. It may be shared internally with leadership, board members and advisors engaged by the organisation. It may not be reproduced, distributed or published externally without written consent from High Impact Group Pty Ltd.</w:t>
      </w:r>
    </w:p>
    <w:p>
      <w:pPr>
        <w:spacing w:after="160"/>
      </w:pPr>
      <w:r>
        <w:rPr>
          <w:rFonts w:ascii="DM Sans" w:cs="DM Sans" w:eastAsia="DM Sans" w:hAnsi="DM Sans"/>
          <w:color w:val="374151"/>
          <w:sz w:val="24"/>
          <w:szCs w:val="24"/>
        </w:rPr>
        <w:t xml:space="preserve">High Impact Group Pty Ltd accepts no liability for any loss, damage or consequence arising from the use of this document or reliance on its contents, to the maximum extent permitted by law.</w:t>
      </w:r>
    </w:p>
    <w:sectPr>
      <w:footerReference w:type="default" r:id="rId7"/>
      <w:pgSz w:w="11906" w:h="16838" w:orient="portrait"/>
      <w:pgMar w:top="108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ECEF" w:sz="1" w:space="4"/>
      </w:pBdr>
      <w:tabs>
        <w:tab w:val="right" w:pos="9026"/>
      </w:tabs>
    </w:pPr>
    <w:r>
      <w:rPr>
        <w:rFonts w:ascii="DM Sans" w:cs="DM Sans" w:eastAsia="DM Sans" w:hAnsi="DM Sans"/>
        <w:color w:val="9CA3AF"/>
        <w:sz w:val="18"/>
        <w:szCs w:val="18"/>
      </w:rPr>
      <w:t xml:space="preserve">myAIstrategy AI Disruption Snapshot - Northwind Advisory - Confidential</w:t>
    </w:r>
    <w:r>
      <w:rPr>
        <w:rFonts w:ascii="DM Sans" w:cs="DM Sans" w:eastAsia="DM Sans" w:hAnsi="DM Sans"/>
        <w:color w:val="9CA3AF"/>
        <w:sz w:val="18"/>
        <w:szCs w:val="18"/>
      </w:rPr>
      <w:tab/>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spacing w:before="40"/>
    </w:pPr>
    <w:r>
      <w:rPr>
        <w:rFonts w:ascii="DM Sans" w:cs="DM Sans" w:eastAsia="DM Sans" w:hAnsi="DM Sans"/>
        <w:color w:val="9CA3AF"/>
        <w:sz w:val="18"/>
        <w:szCs w:val="18"/>
      </w:rPr>
      <w:t xml:space="preserve">Generated with myAIstrategy. Start your free AI disruption scan at myaistrategy.com.au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374151"/>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2026-05-04T07:16:38.622Z</dcterms:created>
  <dcterms:modified xsi:type="dcterms:W3CDTF">2026-05-04T07:16:38.622Z</dcterms:modified>
</cp:coreProperties>
</file>

<file path=docProps/custom.xml><?xml version="1.0" encoding="utf-8"?>
<Properties xmlns="http://schemas.openxmlformats.org/officeDocument/2006/custom-properties" xmlns:vt="http://schemas.openxmlformats.org/officeDocument/2006/docPropsVTypes"/>
</file>