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46"/>
        <w:tblBorders>
          <w:top w:val="single" w:color="D97706" w:sz="12"/>
          <w:left w:val="single" w:color="D97706" w:sz="12"/>
          <w:bottom w:val="single" w:color="D97706" w:sz="12"/>
          <w:right w:val="single" w:color="D97706" w:sz="12"/>
        </w:tblBorders>
        <w:tblCellMar>
          <w:top w:w="120" w:type="dxa"/>
          <w:left w:w="240" w:type="dxa"/>
          <w:bottom w:w="120" w:type="dxa"/>
          <w:right w:w="240" w:type="dxa"/>
        </w:tblCellMar>
      </w:tblPr>
      <w:tblGrid>
        <w:gridCol w:w="9746"/>
      </w:tblGrid>
      <w:tr>
        <w:tc>
          <w:tcPr>
            <w:tcW w:w="9746" w:type="dxa"/>
            <w:shd w:val="clear" w:color="auto" w:fill="FEF3C7"/>
          </w:tcPr>
          <w:p>
            <w:pPr>
              <w:spacing w:before="0" w:after="0"/>
            </w:pPr>
            <w:r>
              <w:rPr>
                <w:rFonts w:ascii="DM Sans" w:cs="DM Sans" w:eastAsia="DM Sans" w:hAnsi="DM Sans"/>
                <w:b/>
                <w:color w:val="92400E"/>
                <w:sz w:val="20"/>
                <w:szCs w:val="20"/>
              </w:rPr>
              <w:t xml:space="preserve">ILLUSTRATIVE EXAMPLE</w:t>
            </w:r>
            <w:r>
              <w:rPr>
                <w:rFonts w:ascii="DM Sans" w:cs="DM Sans" w:eastAsia="DM Sans" w:hAnsi="DM Sans"/>
                <w:color w:val="78350F"/>
                <w:sz w:val="20"/>
                <w:szCs w:val="20"/>
              </w:rPr>
              <w:t xml:space="preserve">  —  Northwind Advisory is a fictional organisation. Real reports are personalised to your business.</w:t>
            </w:r>
          </w:p>
        </w:tc>
      </w:tr>
    </w:tbl>
    <w:p>
      <w:pPr>
        <w:spacing w:before="0" w:after="0"/>
      </w:pPr>
    </w:p>
    <w:p>
      <w:pPr>
        <w:spacing w:after="480"/>
      </w:pPr>
      <w:r>
        <w:rPr>
          <w:rFonts w:ascii="Instrument Serif" w:cs="Instrument Serif" w:eastAsia="Instrument Serif" w:hAnsi="Instrument Serif"/>
          <w:b/>
          <w:bCs/>
          <w:color w:val="0F1B2D"/>
          <w:sz w:val="40"/>
          <w:szCs w:val="40"/>
        </w:rPr>
        <w:t xml:space="preserve">my</w:t>
      </w:r>
      <w:r>
        <w:rPr>
          <w:rFonts w:ascii="Instrument Serif" w:cs="Instrument Serif" w:eastAsia="Instrument Serif" w:hAnsi="Instrument Serif"/>
          <w:b/>
          <w:bCs/>
          <w:color w:val="1792D5"/>
          <w:sz w:val="40"/>
          <w:szCs w:val="40"/>
        </w:rPr>
        <w:t xml:space="preserve">AI</w:t>
      </w:r>
      <w:r>
        <w:rPr>
          <w:rFonts w:ascii="Instrument Serif" w:cs="Instrument Serif" w:eastAsia="Instrument Serif" w:hAnsi="Instrument Serif"/>
          <w:b/>
          <w:bCs/>
          <w:color w:val="0F1B2D"/>
          <w:sz w:val="40"/>
          <w:szCs w:val="40"/>
        </w:rPr>
        <w:t xml:space="preserve">strategy</w:t>
      </w:r>
    </w:p>
    <w:p>
      <w:pPr>
        <w:pBdr>
          <w:bottom w:val="single" w:color="E9ECEF" w:sz="1" w:space="1"/>
        </w:pBdr>
        <w:spacing w:after="320" w:before="320"/>
      </w:pPr>
    </w:p>
    <w:p>
      <w:pPr>
        <w:spacing w:after="960"/>
      </w:pPr>
    </w:p>
    <w:p>
      <w:pPr>
        <w:spacing w:after="960"/>
      </w:pPr>
    </w:p>
    <w:p>
      <w:pPr>
        <w:spacing w:after="160"/>
      </w:pPr>
      <w:r>
        <w:rPr>
          <w:rFonts w:ascii="DM Sans" w:cs="DM Sans" w:eastAsia="DM Sans" w:hAnsi="DM Sans"/>
          <w:b/>
          <w:bCs/>
          <w:color w:val="1792D5"/>
          <w:spacing w:val="60"/>
          <w:sz w:val="20"/>
          <w:szCs w:val="20"/>
        </w:rPr>
        <w:t xml:space="preserve">STRATEGIC SYNTHESIS</w:t>
      </w:r>
    </w:p>
    <w:p>
      <w:pPr>
        <w:spacing w:after="160" w:before="240"/>
      </w:pPr>
      <w:r>
        <w:rPr>
          <w:rFonts w:ascii="Instrument Serif" w:cs="Instrument Serif" w:eastAsia="Instrument Serif" w:hAnsi="Instrument Serif"/>
          <w:b/>
          <w:bCs/>
          <w:color w:val="0F1B2D"/>
          <w:sz w:val="68"/>
          <w:szCs w:val="68"/>
        </w:rPr>
        <w:t xml:space="preserve">AI Strategy Canvas</w:t>
      </w:r>
    </w:p>
    <w:p>
      <w:pPr>
        <w:spacing w:after="80"/>
      </w:pPr>
      <w:r>
        <w:rPr>
          <w:rFonts w:ascii="Instrument Serif" w:cs="Instrument Serif" w:eastAsia="Instrument Serif" w:hAnsi="Instrument Serif"/>
          <w:color w:val="374151"/>
          <w:sz w:val="40"/>
          <w:szCs w:val="40"/>
        </w:rPr>
        <w:t xml:space="preserve">Northwind Advisory</w:t>
      </w:r>
    </w:p>
    <w:p>
      <w:pPr>
        <w:spacing w:after="800"/>
      </w:pPr>
      <w:r>
        <w:rPr>
          <w:rFonts w:ascii="DM Sans" w:cs="DM Sans" w:eastAsia="DM Sans" w:hAnsi="DM Sans"/>
          <w:color w:val="6B7280"/>
          <w:sz w:val="32"/>
          <w:szCs w:val="32"/>
        </w:rPr>
        <w:t xml:space="preserve">Professional, Scientific and Technical Services - Management Consulting Services</w:t>
      </w:r>
    </w:p>
    <w:tbl>
      <w:tblPr>
        <w:tblW w:type="pct" w:w="8%"/>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1792D5" w:color="1792D5" w:val="solid"/>
          </w:tcPr>
          <w:p>
            <w:pPr>
              <w:spacing w:after="0" w:before="0"/>
            </w:pPr>
            <w:r>
              <w:rPr>
                <w:sz w:val="4"/>
                <w:szCs w:val="4"/>
              </w:rPr>
              <w:t xml:space="preserve"> </w:t>
            </w:r>
          </w:p>
        </w:tc>
      </w:tr>
    </w:tbl>
    <w:p>
      <w:pPr>
        <w:spacing w:after="800"/>
      </w:pPr>
    </w:p>
    <w:p>
      <w:pPr>
        <w:spacing w:after="160"/>
      </w:pPr>
      <w:r>
        <w:rPr>
          <w:rFonts w:ascii="DM Sans" w:cs="DM Sans" w:eastAsia="DM Sans" w:hAnsi="DM Sans"/>
          <w:color w:val="6B7280"/>
          <w:sz w:val="24"/>
          <w:szCs w:val="24"/>
        </w:rPr>
        <w:t xml:space="preserve">Prepared for Northwind Advisory leadership</w:t>
      </w:r>
    </w:p>
    <w:p>
      <w:pPr>
        <w:spacing w:after="160"/>
      </w:pPr>
      <w:r>
        <w:rPr>
          <w:rFonts w:ascii="DM Sans" w:cs="DM Sans" w:eastAsia="DM Sans" w:hAnsi="DM Sans"/>
          <w:color w:val="6B7280"/>
          <w:sz w:val="24"/>
          <w:szCs w:val="24"/>
        </w:rPr>
        <w:t xml:space="preserve">4 May 2026</w:t>
      </w:r>
    </w:p>
    <w:p>
      <w:pPr>
        <w:spacing w:after="960"/>
      </w:pPr>
    </w:p>
    <w:p>
      <w:pPr>
        <w:spacing w:after="960"/>
      </w:pPr>
    </w:p>
    <w:p>
      <w:pPr>
        <w:pBdr>
          <w:bottom w:val="single" w:color="E9ECEF" w:sz="1" w:space="1"/>
        </w:pBdr>
        <w:spacing w:after="320" w:before="320"/>
      </w:pPr>
    </w:p>
    <w:p>
      <w:pPr>
        <w:tabs>
          <w:tab w:val="right" w:pos="9026"/>
        </w:tabs>
      </w:pPr>
      <w:r>
        <w:rPr>
          <w:rFonts w:ascii="DM Sans" w:cs="DM Sans" w:eastAsia="DM Sans" w:hAnsi="DM Sans"/>
          <w:color w:val="9CA3AF"/>
          <w:spacing w:val="80"/>
          <w:sz w:val="18"/>
          <w:szCs w:val="18"/>
        </w:rPr>
        <w:t xml:space="preserve">CONFIDENTIAL</w:t>
      </w:r>
      <w:r>
        <w:rPr>
          <w:rFonts w:ascii="DM Sans" w:cs="DM Sans" w:eastAsia="DM Sans" w:hAnsi="DM Sans"/>
          <w:color w:val="9CA3AF"/>
          <w:sz w:val="18"/>
          <w:szCs w:val="18"/>
        </w:rPr>
        <w:tab/>
        <w:t xml:space="preserve">myaistrategy.com.au</w:t>
      </w:r>
    </w:p>
    <w:p>
      <w:pPr>
        <w:sectPr>
          <w:pgSz w:w="11906" w:h="16838" w:orient="portrait"/>
          <w:pgMar w:top="1080" w:right="1080" w:bottom="1440" w:left="1080" w:header="708" w:footer="708" w:gutter="0"/>
          <w:pgNumType/>
          <w:docGrid w:linePitch="360"/>
        </w:sectPr>
      </w:pPr>
    </w:p>
    <w:p>
      <w:pPr>
        <w:pBdr>
          <w:bottom w:val="single" w:color="0F1B2D" w:sz="12" w:space="6"/>
        </w:pBdr>
      </w:pPr>
      <w:r>
        <w:rPr>
          <w:rFonts w:ascii="DM Sans" w:cs="DM Sans" w:eastAsia="DM Sans" w:hAnsi="DM Sans"/>
          <w:color w:val="9CA3AF"/>
          <w:spacing w:val="80"/>
          <w:sz w:val="18"/>
          <w:szCs w:val="18"/>
        </w:rPr>
        <w:t xml:space="preserve">AI STRATEGY CANVAS</w:t>
      </w:r>
    </w:p>
    <w:p>
      <w:pPr>
        <w:spacing w:after="80" w:before="160"/>
      </w:pPr>
      <w:r>
        <w:rPr>
          <w:rFonts w:ascii="Instrument Serif" w:cs="Instrument Serif" w:eastAsia="Instrument Serif" w:hAnsi="Instrument Serif"/>
          <w:b/>
          <w:bCs/>
          <w:color w:val="1A1F2E"/>
          <w:sz w:val="52"/>
          <w:szCs w:val="52"/>
        </w:rPr>
        <w:t xml:space="preserve">Northwind Advisory</w:t>
      </w:r>
    </w:p>
    <w:p>
      <w:pPr>
        <w:spacing w:after="320"/>
      </w:pPr>
      <w:r>
        <w:rPr>
          <w:rFonts w:ascii="DM Sans" w:cs="DM Sans" w:eastAsia="DM Sans" w:hAnsi="DM Sans"/>
          <w:color w:val="6B7280"/>
          <w:sz w:val="24"/>
          <w:szCs w:val="24"/>
        </w:rPr>
        <w:t xml:space="preserve">Professional, Scientific and Technical Services - Management Consulting Services</w:t>
      </w:r>
    </w:p>
    <w:tbl>
      <w:tblPr>
        <w:tblW w:type="pct" w:w="60%"/>
        <w:jc w:val="center"/>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none" w:color="FFFFFF" w:sz="0"/>
              <w:left w:val="none" w:color="FFFFFF" w:sz="0"/>
              <w:bottom w:val="single" w:color="E9ECEF" w:sz="1"/>
              <w:right w:val="none" w:color="FFFFFF" w:sz="0"/>
            </w:tcBorders>
            <w:shd w:fill="F8F9FA" w:color="F8F9FA" w:val="solid"/>
            <w:vAlign w:val="center"/>
          </w:tcPr>
          <w:p>
            <w:pPr>
              <w:spacing w:after="0" w:before="160"/>
              <w:jc w:val="center"/>
            </w:pPr>
            <w:r>
              <w:rPr>
                <w:rFonts w:ascii="Instrument Serif" w:cs="Instrument Serif" w:eastAsia="Instrument Serif" w:hAnsi="Instrument Serif"/>
                <w:b/>
                <w:bCs/>
                <w:color w:val="1A1F2E"/>
                <w:sz w:val="56"/>
                <w:szCs w:val="56"/>
              </w:rPr>
              <w:t xml:space="preserve">72</w:t>
            </w:r>
            <w:r>
              <w:rPr>
                <w:rFonts w:ascii="DM Sans" w:cs="DM Sans" w:eastAsia="DM Sans" w:hAnsi="DM Sans"/>
                <w:color w:val="6B7280"/>
                <w:sz w:val="20"/>
                <w:szCs w:val="20"/>
              </w:rPr>
              <w:t xml:space="preserve"> Significant Exposure</w:t>
            </w:r>
          </w:p>
          <w:p>
            <w:pPr>
              <w:spacing w:after="160"/>
              <w:jc w:val="center"/>
            </w:pPr>
            <w:r>
              <w:rPr>
                <w:rFonts w:ascii="DM Sans" w:cs="DM Sans" w:eastAsia="DM Sans" w:hAnsi="DM Sans"/>
                <w:color w:val="9CA3AF"/>
                <w:spacing w:val="40"/>
                <w:sz w:val="18"/>
                <w:szCs w:val="18"/>
              </w:rPr>
              <w:t xml:space="preserve">DISRUPTION SCORE</w:t>
            </w:r>
          </w:p>
        </w:tc>
        <w:tc>
          <w:tcPr>
            <w:tcW w:type="pct" w:w="50%"/>
            <w:tcBorders>
              <w:top w:val="none" w:color="FFFFFF" w:sz="0"/>
              <w:left w:val="none" w:color="FFFFFF" w:sz="0"/>
              <w:bottom w:val="single" w:color="E9ECEF" w:sz="1"/>
              <w:right w:val="none" w:color="FFFFFF" w:sz="0"/>
            </w:tcBorders>
            <w:shd w:fill="F8F9FA" w:color="F8F9FA" w:val="solid"/>
            <w:vAlign w:val="center"/>
          </w:tcPr>
          <w:p>
            <w:pPr>
              <w:spacing w:after="0" w:before="160"/>
              <w:jc w:val="center"/>
            </w:pPr>
            <w:r>
              <w:rPr>
                <w:rFonts w:ascii="Instrument Serif" w:cs="Instrument Serif" w:eastAsia="Instrument Serif" w:hAnsi="Instrument Serif"/>
                <w:b/>
                <w:bCs/>
                <w:color w:val="1A1F2E"/>
                <w:sz w:val="40"/>
                <w:szCs w:val="40"/>
              </w:rPr>
              <w:t xml:space="preserve">Implementing</w:t>
            </w:r>
          </w:p>
          <w:p>
            <w:pPr>
              <w:spacing w:after="160"/>
              <w:jc w:val="center"/>
            </w:pPr>
            <w:r>
              <w:rPr>
                <w:rFonts w:ascii="DM Sans" w:cs="DM Sans" w:eastAsia="DM Sans" w:hAnsi="DM Sans"/>
                <w:color w:val="9CA3AF"/>
                <w:spacing w:val="40"/>
                <w:sz w:val="18"/>
                <w:szCs w:val="18"/>
              </w:rPr>
              <w:t xml:space="preserve">AI MATURITY</w:t>
            </w:r>
          </w:p>
        </w:tc>
      </w:tr>
    </w:tbl>
    <w:p>
      <w:pPr>
        <w:spacing w:after="32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F1B2D" w:sz="12"/>
              <w:left w:val="single" w:color="0F1B2D" w:sz="12"/>
              <w:bottom w:val="single" w:color="0F1B2D" w:sz="12"/>
              <w:right w:val="single" w:color="0F1B2D" w:sz="12"/>
            </w:tcBorders>
            <w:shd w:fill="F8F9FA" w:color="F8F9FA" w:val="solid"/>
            <w:tcMar>
              <w:top w:type="dxa" w:w="215"/>
              <w:left w:type="dxa" w:w="360"/>
              <w:bottom w:type="dxa" w:w="215"/>
              <w:right w:type="dxa" w:w="360"/>
            </w:tcMar>
          </w:tcPr>
          <w:p>
            <w:pPr>
              <w:spacing w:after="80" w:before="320"/>
              <w:jc w:val="center"/>
            </w:pPr>
            <w:r>
              <w:rPr>
                <w:rFonts w:ascii="Instrument Serif" w:cs="Instrument Serif" w:eastAsia="Instrument Serif" w:hAnsi="Instrument Serif"/>
                <w:b/>
                <w:bCs/>
                <w:color w:val="1A1F2E"/>
                <w:spacing w:val="40"/>
                <w:sz w:val="28"/>
                <w:szCs w:val="28"/>
              </w:rPr>
              <w:t xml:space="preserve">STRATEGIC THESIS</w:t>
            </w:r>
          </w:p>
          <w:p>
            <w:pPr>
              <w:spacing w:after="160"/>
              <w:jc w:val="center"/>
            </w:pPr>
            <w:r>
              <w:rPr>
                <w:rFonts w:ascii="DM Sans" w:cs="DM Sans" w:eastAsia="DM Sans" w:hAnsi="DM Sans"/>
                <w:i/>
                <w:iCs/>
                <w:color w:val="6B7280"/>
                <w:sz w:val="20"/>
                <w:szCs w:val="20"/>
              </w:rPr>
              <w:t xml:space="preserve">The Strategic Reframe</w:t>
            </w:r>
          </w:p>
          <w:p>
            <w:pPr>
              <w:pBdr>
                <w:bottom w:val="single" w:color="E9ECEF" w:sz="1" w:space="4"/>
              </w:pBdr>
              <w:spacing w:after="160"/>
            </w:pPr>
            <w:r>
              <w:rPr>
                <w:rFonts w:ascii="DM Sans" w:cs="DM Sans" w:eastAsia="DM Sans" w:hAnsi="DM Sans"/>
                <w:b/>
                <w:bCs/>
                <w:color w:val="1A1F2E"/>
                <w:sz w:val="26"/>
                <w:szCs w:val="26"/>
              </w:rPr>
              <w:t xml:space="preserve">Your real defensible asset is not your consultants, your tools, or even your client list — it is the codified judgement of how Northwind Advisory translates a vague engagement into an advisory system that works. Every AI-native platform can generate strategy decks; none of them have your interpretation methodology. Productise that methodology as a proprietary AI workflow and you stop selling consulting hours and start licensing a thinking system.</w:t>
            </w:r>
          </w:p>
          <w:p>
            <w:pPr>
              <w:pBdr>
                <w:bottom w:val="single" w:color="E9ECEF" w:sz="1" w:space="4"/>
              </w:pBdr>
              <w:spacing w:after="160"/>
            </w:pPr>
            <w:r>
              <w:rPr>
                <w:rFonts w:ascii="DM Sans" w:cs="DM Sans" w:eastAsia="DM Sans" w:hAnsi="DM Sans"/>
                <w:b/>
                <w:bCs/>
                <w:color w:val="1A1F2E"/>
                <w:sz w:val="26"/>
                <w:szCs w:val="26"/>
              </w:rPr>
              <w:t xml:space="preserve">The Concentrated AI decision authority within the CTO function is not a governance problem — it is a strategic ceiling. While AI calls bottleneck through a single executive, the firm cannot move at the pace the Capability Explosion now demands; AI-native competitors are shipping workflow changes weekly. Distributing AI ownership is not delegation hygiene, it is the precondition for surviving the next 18 months.</w:t>
            </w:r>
          </w:p>
          <w:p>
            <w:pPr>
              <w:pBdr>
                <w:bottom w:val="single" w:color="E9ECEF" w:sz="1" w:space="4"/>
              </w:pBdr>
              <w:spacing w:after="160"/>
            </w:pPr>
            <w:r>
              <w:rPr>
                <w:rFonts w:ascii="DM Sans" w:cs="DM Sans" w:eastAsia="DM Sans" w:hAnsi="DM Sans"/>
                <w:b/>
                <w:bCs/>
                <w:color w:val="1A1F2E"/>
                <w:sz w:val="26"/>
                <w:szCs w:val="26"/>
              </w:rPr>
              <w:t xml:space="preserve">Triple data entry, manual invoicing and Salesforce friction are not back-office annoyances — they are senior consulting capacity being burned at the most expensive rate in the firm. Every hour your strategists spend in admin is an hour not spent on the high-margin advisory retainers that are the only margin-defensible product you have left as analysis and reporting work commoditises.</w:t>
            </w:r>
          </w:p>
          <w:p>
            <w:pPr>
              <w:spacing w:after="160"/>
            </w:pPr>
            <w:r>
              <w:rPr>
                <w:rFonts w:ascii="DM Sans" w:cs="DM Sans" w:eastAsia="DM Sans" w:hAnsi="DM Sans"/>
                <w:b/>
                <w:bCs/>
                <w:color w:val="1A1F2E"/>
                <w:sz w:val="26"/>
                <w:szCs w:val="26"/>
              </w:rPr>
              <w:t xml:space="preserve">The commoditisation curve has already arrived in management consulting — the question is which side of it you sit on. Generic strategy decks are collapsing in price because AI-native platforms deliver them at a fraction of your cost base; advisory judgement, methodology and senior client relationships are not. Northwind Advisory's survival is a deliberate retreat from commoditised output and a deliberate advance into codified thinking.</w:t>
            </w:r>
          </w:p>
        </w:tc>
      </w:tr>
    </w:tbl>
    <w:p>
      <w:pPr>
        <w:spacing w:after="320"/>
      </w:pPr>
    </w:p>
    <w:p>
      <w:pPr>
        <w:spacing w:after="4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none" w:color="FFFFFF" w:sz="0"/>
              <w:left w:val="none" w:color="FFFFFF" w:sz="0"/>
              <w:bottom w:val="none" w:color="FFFFFF" w:sz="0"/>
              <w:right w:val="none" w:color="FFFFFF" w:sz="0"/>
            </w:tcBorders>
            <w:shd w:fill="0F1B2D" w:color="0F1B2D" w:val="solid"/>
            <w:tcMar>
              <w:top w:type="dxa" w:w="215"/>
              <w:left w:type="dxa" w:w="431"/>
              <w:bottom w:type="dxa" w:w="215"/>
              <w:right w:type="dxa" w:w="431"/>
            </w:tcMar>
          </w:tcPr>
          <w:p>
            <w:pPr>
              <w:spacing w:after="160" w:before="320"/>
              <w:jc w:val="center"/>
            </w:pPr>
            <w:r>
              <w:rPr>
                <w:rFonts w:ascii="Instrument Serif" w:cs="Instrument Serif" w:eastAsia="Instrument Serif" w:hAnsi="Instrument Serif"/>
                <w:b/>
                <w:bCs/>
                <w:color w:val="FFFFFF"/>
                <w:spacing w:val="40"/>
                <w:sz w:val="28"/>
                <w:szCs w:val="28"/>
              </w:rPr>
              <w:t xml:space="preserve">AI AMBITIONS</w:t>
            </w:r>
          </w:p>
          <w:p>
            <w:pPr>
              <w:pBdr>
                <w:bottom w:val="single" w:color="2A3A50" w:sz="1" w:space="4"/>
              </w:pBdr>
              <w:spacing w:after="160"/>
              <w:ind w:left="288" w:hanging="288"/>
            </w:pPr>
            <w:r>
              <w:rPr>
                <w:rFonts w:ascii="DM Sans" w:cs="DM Sans" w:eastAsia="DM Sans" w:hAnsi="DM Sans"/>
                <w:b/>
                <w:bCs/>
                <w:color w:val="9CA3AF"/>
                <w:sz w:val="26"/>
                <w:szCs w:val="26"/>
              </w:rPr>
              <w:t xml:space="preserve">1. </w:t>
            </w:r>
            <w:r>
              <w:rPr>
                <w:rFonts w:ascii="DM Sans" w:cs="DM Sans" w:eastAsia="DM Sans" w:hAnsi="DM Sans"/>
                <w:color w:val="FFFFFF"/>
                <w:sz w:val="26"/>
                <w:szCs w:val="26"/>
              </w:rPr>
              <w:t xml:space="preserve">Shift revenue mix so high-margin advisory retainers represent the majority of gross margin within 18 months, with commoditised analysis and reporting work delivered through AI-augmented production at materially lower cost-to-serve.</w:t>
            </w:r>
          </w:p>
          <w:p>
            <w:pPr>
              <w:pBdr>
                <w:bottom w:val="single" w:color="2A3A50" w:sz="1" w:space="4"/>
              </w:pBdr>
              <w:spacing w:after="160"/>
              <w:ind w:left="288" w:hanging="288"/>
            </w:pPr>
            <w:r>
              <w:rPr>
                <w:rFonts w:ascii="DM Sans" w:cs="DM Sans" w:eastAsia="DM Sans" w:hAnsi="DM Sans"/>
                <w:b/>
                <w:bCs/>
                <w:color w:val="9CA3AF"/>
                <w:sz w:val="26"/>
                <w:szCs w:val="26"/>
              </w:rPr>
              <w:t xml:space="preserve">2. </w:t>
            </w:r>
            <w:r>
              <w:rPr>
                <w:rFonts w:ascii="DM Sans" w:cs="DM Sans" w:eastAsia="DM Sans" w:hAnsi="DM Sans"/>
                <w:color w:val="FFFFFF"/>
                <w:sz w:val="26"/>
                <w:szCs w:val="26"/>
              </w:rPr>
              <w:t xml:space="preserve">Deploy a portfolio of at least four production agents (intake, invoicing, QC, methodology) within 12 months — the compound advantage is not any single agent but the orchestrated stack that competitors running generic SaaS cannot assemble.</w:t>
            </w:r>
          </w:p>
          <w:p>
            <w:pPr>
              <w:pBdr>
                <w:bottom w:val="single" w:color="2A3A50" w:sz="1" w:space="4"/>
              </w:pBdr>
              <w:spacing w:after="160"/>
              <w:ind w:left="288" w:hanging="288"/>
            </w:pPr>
            <w:r>
              <w:rPr>
                <w:rFonts w:ascii="DM Sans" w:cs="DM Sans" w:eastAsia="DM Sans" w:hAnsi="DM Sans"/>
                <w:b/>
                <w:bCs/>
                <w:color w:val="9CA3AF"/>
                <w:sz w:val="26"/>
                <w:szCs w:val="26"/>
              </w:rPr>
              <w:t xml:space="preserve">3. </w:t>
            </w:r>
            <w:r>
              <w:rPr>
                <w:rFonts w:ascii="DM Sans" w:cs="DM Sans" w:eastAsia="DM Sans" w:hAnsi="DM Sans"/>
                <w:color w:val="FFFFFF"/>
                <w:sz w:val="26"/>
                <w:szCs w:val="26"/>
              </w:rPr>
              <w:t xml:space="preserve">Productise the Northwind Advisory methodology as a licensable AI-augmented advisory service line, creating a revenue stream that scales independently of consultant headcount and directly answers the strategic thesis.</w:t>
            </w:r>
          </w:p>
          <w:p>
            <w:pPr>
              <w:pBdr>
                <w:bottom w:val="single" w:color="2A3A50" w:sz="1" w:space="4"/>
              </w:pBdr>
              <w:spacing w:after="160"/>
              <w:ind w:left="288" w:hanging="288"/>
            </w:pPr>
            <w:r>
              <w:rPr>
                <w:rFonts w:ascii="DM Sans" w:cs="DM Sans" w:eastAsia="DM Sans" w:hAnsi="DM Sans"/>
                <w:b/>
                <w:bCs/>
                <w:color w:val="9CA3AF"/>
                <w:sz w:val="26"/>
                <w:szCs w:val="26"/>
              </w:rPr>
              <w:t xml:space="preserve">4. </w:t>
            </w:r>
            <w:r>
              <w:rPr>
                <w:rFonts w:ascii="DM Sans" w:cs="DM Sans" w:eastAsia="DM Sans" w:hAnsi="DM Sans"/>
                <w:color w:val="FFFFFF"/>
                <w:sz w:val="26"/>
                <w:szCs w:val="26"/>
              </w:rPr>
              <w:t xml:space="preserve">Reset pricing and packaging to compete credibly against AI-native firms on commoditised work while protecting premium positioning on strategy — explicit tiered offer rather than the current implicit one.</w:t>
            </w:r>
          </w:p>
          <w:p>
            <w:pPr>
              <w:pBdr>
                <w:bottom w:val="single" w:color="2A3A50" w:sz="1" w:space="4"/>
              </w:pBdr>
              <w:spacing w:after="160"/>
              <w:ind w:left="288" w:hanging="288"/>
            </w:pPr>
            <w:r>
              <w:rPr>
                <w:rFonts w:ascii="DM Sans" w:cs="DM Sans" w:eastAsia="DM Sans" w:hAnsi="DM Sans"/>
                <w:b/>
                <w:bCs/>
                <w:color w:val="9CA3AF"/>
                <w:sz w:val="26"/>
                <w:szCs w:val="26"/>
              </w:rPr>
              <w:t xml:space="preserve">5. </w:t>
            </w:r>
            <w:r>
              <w:rPr>
                <w:rFonts w:ascii="DM Sans" w:cs="DM Sans" w:eastAsia="DM Sans" w:hAnsi="DM Sans"/>
                <w:color w:val="FFFFFF"/>
                <w:sz w:val="26"/>
                <w:szCs w:val="26"/>
              </w:rPr>
              <w:t xml:space="preserve">Move Northwind Advisory from experimenting to operationalising AI maturity within 12 months, closing the gap to Cresta Consulting and Beacon Group on tooling whilst extending the lead on methodology and senior judgement.</w:t>
            </w: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single" w:color="DEE2E6" w:sz="1"/>
              <w:left w:val="single" w:color="DEE2E6" w:sz="1"/>
              <w:bottom w:val="single" w:color="DEE2E6" w:sz="1"/>
              <w:right w:val="single" w:color="DEE2E6" w:sz="1"/>
            </w:tcBorders>
            <w:shd w:fill="F8F9FA" w:color="F8F9FA" w:val="solid"/>
            <w:tcMar>
              <w:top w:type="dxa" w:w="144"/>
              <w:left w:type="dxa" w:w="215"/>
              <w:bottom w:type="dxa" w:w="144"/>
              <w:right w:type="dxa" w:w="215"/>
            </w:tcMar>
          </w:tcPr>
          <w:p>
            <w:pPr>
              <w:pBdr>
                <w:bottom w:val="single" w:color="0F1B2D" w:sz="12" w:space="4"/>
              </w:pBdr>
              <w:spacing w:after="80" w:before="320"/>
            </w:pPr>
            <w:r>
              <w:rPr>
                <w:rFonts w:ascii="Instrument Serif" w:cs="Instrument Serif" w:eastAsia="Instrument Serif" w:hAnsi="Instrument Serif"/>
                <w:b/>
                <w:bCs/>
                <w:color w:val="1A1F2E"/>
                <w:sz w:val="32"/>
                <w:szCs w:val="32"/>
              </w:rPr>
              <w:t xml:space="preserve">AI Disruption Landscape</w:t>
            </w:r>
          </w:p>
          <w:p>
            <w:pPr>
              <w:spacing w:after="240"/>
            </w:pPr>
            <w:r>
              <w:rPr>
                <w:rFonts w:ascii="DM Sans" w:cs="DM Sans" w:eastAsia="DM Sans" w:hAnsi="DM Sans"/>
                <w:color w:val="6B7280"/>
                <w:sz w:val="20"/>
                <w:szCs w:val="20"/>
              </w:rPr>
              <w:t xml:space="preserve">The structural forces reshaping your market and competitive position</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AI-native advisory platforms (Velocity Consulting being the clearest reference point) operate with cost structures legacy firms cannot match — agents handle first-draft execution, human consultants refine, and pricing on analysis, reporting and template work is being reset 40-60% below traditional firm rates. This is not a future scenario; it is current pricing pressure on Northwind Advisory's pursuit list.</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Professional Services sits at 79% AI adoption (OpenAI Australia Opportunity Report 2025) — the highest of any sector. Northwind Advisory is in the experimenting stage while peers are operationalising. The gap is compounding quarterly because higher-margin AI-augmented firms reinvest faster into tooling and talent.</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Plausible AI-native entrant scenario: a twenty-person AI-native firm using Claude, AI-native platforms-class tools and a purpose-built intake agent delivers strategy engagements in 5 weeks at 30% of your price point. They do not need your overhead, your enterprise SaaS stack, or your project management layer. Three of these exist in Australia already; within 12 months there will be thirty.</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Cresta Consulting, Hartwell Partners and Beacon Group sit firmly in the AI-Augmented Incumbent category and are publicly investing in AI-augmented service lines. Northwind Advisory is currently AI-Resistant trending toward Augmented — the H1 initiatives in this canvas determine which side of that line you land on by end of FY.</w:t>
            </w:r>
          </w:p>
          <w:p>
            <w:pP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Workforce anxiety is itself a disruption vector. Australian Professional Services is flagged as one of the industries facing the heaviest AI-driven role displacement; if Northwind Advisory's team reads the silence on AI strategy as a threat rather than a plan, talent loss precedes any productivity gain.</w:t>
            </w:r>
          </w:p>
          <w:p>
            <w:pPr>
              <w:spacing w:after="160"/>
            </w:pPr>
          </w:p>
        </w:tc>
        <w:tc>
          <w:tcPr>
            <w:tcW w:type="pct" w:w="50%"/>
            <w:tcBorders>
              <w:top w:val="single" w:color="DEE2E6" w:sz="1"/>
              <w:left w:val="single" w:color="DEE2E6" w:sz="1"/>
              <w:bottom w:val="single" w:color="DEE2E6" w:sz="1"/>
              <w:right w:val="single" w:color="DEE2E6" w:sz="1"/>
            </w:tcBorders>
            <w:shd w:fill="F1F3F5" w:color="F1F3F5" w:val="solid"/>
            <w:tcMar>
              <w:top w:type="dxa" w:w="144"/>
              <w:left w:type="dxa" w:w="215"/>
              <w:bottom w:type="dxa" w:w="144"/>
              <w:right w:type="dxa" w:w="215"/>
            </w:tcMar>
          </w:tcPr>
          <w:p>
            <w:pPr>
              <w:pBdr>
                <w:bottom w:val="single" w:color="0F1B2D" w:sz="12" w:space="4"/>
              </w:pBdr>
              <w:spacing w:after="80" w:before="320"/>
            </w:pPr>
            <w:r>
              <w:rPr>
                <w:rFonts w:ascii="Instrument Serif" w:cs="Instrument Serif" w:eastAsia="Instrument Serif" w:hAnsi="Instrument Serif"/>
                <w:b/>
                <w:bCs/>
                <w:color w:val="1A1F2E"/>
                <w:sz w:val="32"/>
                <w:szCs w:val="32"/>
              </w:rPr>
              <w:t xml:space="preserve">Competitive Advantage Through AI</w:t>
            </w:r>
          </w:p>
          <w:p>
            <w:pPr>
              <w:spacing w:after="240"/>
            </w:pPr>
            <w:r>
              <w:rPr>
                <w:rFonts w:ascii="DM Sans" w:cs="DM Sans" w:eastAsia="DM Sans" w:hAnsi="DM Sans"/>
                <w:color w:val="6B7280"/>
                <w:sz w:val="20"/>
                <w:szCs w:val="20"/>
              </w:rPr>
              <w:t xml:space="preserve">Sources of differentiation and value creation unique to your position</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Your Customer Experience score (88/100) and Competitive position (88/100) indicate the client relationships and advisory reputation are genuinely strong — this is the platform on which AI-augmented services are sold. Ahead of pure AI-native entrants on trust and senior judgement; behind Beacon Group and Velocity Consulting on production velocity and tooling.</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A purpose-built Advisory Operations Platform replacing Salesforce creates operational differentiation that competitors running generic SaaS cannot replicate — your intake, engagement scoping, QC and invoicing become a single agent-orchestrated workflow tuned to how Northwind Advisory actually thinks, not how Salesforce's product managers think advisory firms should work.</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The methodology-as-agent play is your single most defensible move. Cresta Consulting and Hartwell Partners have firm reputation; Velocity Consulting has scale; none of them have codified your specific interpretation process as an executable AI workflow. First-mover advantage here is real because the methodology is the moat, not the tool.</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High-margin advisory retainers are the layer AI-native platforms cannot easily attack — they require senior judgement, client trust built over years, and sense-making in ambiguity (one of the five capabilities AI cannot replace). Extending this revenue stream while automating execution is the asymmetric play.</w:t>
            </w:r>
          </w:p>
          <w:p>
            <w:pP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Operations score of 84/100 suggests the firm runs well manually — meaning AI augmentation compounds an already-functional baseline rather than papering over chaos. Firms with broken operations cannot successfully deploy agents; you can.</w:t>
            </w:r>
          </w:p>
          <w:p>
            <w:pPr>
              <w:spacing w:after="160"/>
            </w:pPr>
          </w:p>
        </w:tc>
      </w:tr>
    </w:tbl>
    <w:p>
      <w:r>
        <w:br w:type="page"/>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single" w:color="DEE2E6" w:sz="1"/>
              <w:left w:val="single" w:color="DEE2E6" w:sz="1"/>
              <w:bottom w:val="single" w:color="DEE2E6" w:sz="1"/>
              <w:right w:val="single" w:color="DEE2E6" w:sz="1"/>
            </w:tcBorders>
            <w:shd w:fill="F1F3F5" w:color="F1F3F5" w:val="solid"/>
            <w:tcMar>
              <w:top w:type="dxa" w:w="144"/>
              <w:left w:type="dxa" w:w="215"/>
              <w:bottom w:type="dxa" w:w="144"/>
              <w:right w:type="dxa" w:w="215"/>
            </w:tcMar>
          </w:tcPr>
          <w:p>
            <w:pPr>
              <w:pBdr>
                <w:bottom w:val="single" w:color="0F1B2D" w:sz="12" w:space="4"/>
              </w:pBdr>
              <w:spacing w:after="80" w:before="320"/>
            </w:pPr>
            <w:r>
              <w:rPr>
                <w:rFonts w:ascii="Instrument Serif" w:cs="Instrument Serif" w:eastAsia="Instrument Serif" w:hAnsi="Instrument Serif"/>
                <w:b/>
                <w:bCs/>
                <w:color w:val="1A1F2E"/>
                <w:sz w:val="32"/>
                <w:szCs w:val="32"/>
              </w:rPr>
              <w:t xml:space="preserve">AI-Enabling Organisation</w:t>
            </w:r>
          </w:p>
          <w:p>
            <w:pPr>
              <w:spacing w:after="240"/>
            </w:pPr>
            <w:r>
              <w:rPr>
                <w:rFonts w:ascii="DM Sans" w:cs="DM Sans" w:eastAsia="DM Sans" w:hAnsi="DM Sans"/>
                <w:color w:val="6B7280"/>
                <w:sz w:val="20"/>
                <w:szCs w:val="20"/>
              </w:rPr>
              <w:t xml:space="preserve">Capability, culture, and governance requirements to execute</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Transfer AI strategy ownership from CTO to a cross-functional AI Council with explicit authority and budget — this is the single highest-leverage governance move and a precondition for every other initiative on the canvas.</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Map the firm's roles against automation exposure: junior consultants and project coordinators face the highest augmentation pressure (60-70% of routine task time addressable by agents within 24 months); senior partners and client leads get amplified, not displaced. Communicate this honestly to the team.</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Redesign the junior development pathway. Junior consultants historically learned the craft by doing the routine analysis work agents are now absorbing — without deliberate pathway redesign, today's productivity win becomes tomorrow's senior talent shortage.</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Build agent governance capability: who supervises agent outputs, how errors are caught, how prompts and workflows are versioned, when humans override. This is execution discipline applied to AI — one of the five capabilities AI cannot replace, and the muscle most firms are not building.</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Run a Workforce AI Readiness Sprint in H1 covering the full team — not generic AI training, but role-specific fluency tied to the actual agents being deployed. Anxiety drops when people see the tools and understand where they fit.</w:t>
            </w:r>
          </w:p>
          <w:p>
            <w:pP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Assess the leadership team against the five irreplaceable capabilities (judgement under pressure, influence without authority, sense-making in ambiguity, the nerve to lead through disruption, execution discipline). Transformation fails on leadership capability before it fails on technical capability.</w:t>
            </w:r>
          </w:p>
          <w:p>
            <w:pPr>
              <w:spacing w:after="160"/>
            </w:pPr>
          </w:p>
        </w:tc>
        <w:tc>
          <w:tcPr>
            <w:tcW w:type="pct" w:w="50%"/>
            <w:tcBorders>
              <w:top w:val="single" w:color="DEE2E6" w:sz="1"/>
              <w:left w:val="single" w:color="DEE2E6" w:sz="1"/>
              <w:bottom w:val="single" w:color="DEE2E6" w:sz="1"/>
              <w:right w:val="single" w:color="DEE2E6" w:sz="1"/>
            </w:tcBorders>
            <w:shd w:fill="F8F9FA" w:color="F8F9FA" w:val="solid"/>
            <w:tcMar>
              <w:top w:type="dxa" w:w="144"/>
              <w:left w:type="dxa" w:w="215"/>
              <w:bottom w:type="dxa" w:w="144"/>
              <w:right w:type="dxa" w:w="215"/>
            </w:tcMar>
          </w:tcPr>
          <w:p>
            <w:pPr>
              <w:pBdr>
                <w:bottom w:val="single" w:color="0F1B2D" w:sz="12" w:space="4"/>
              </w:pBdr>
              <w:spacing w:after="80" w:before="320"/>
            </w:pPr>
            <w:r>
              <w:rPr>
                <w:rFonts w:ascii="Instrument Serif" w:cs="Instrument Serif" w:eastAsia="Instrument Serif" w:hAnsi="Instrument Serif"/>
                <w:b/>
                <w:bCs/>
                <w:color w:val="1A1F2E"/>
                <w:sz w:val="32"/>
                <w:szCs w:val="32"/>
              </w:rPr>
              <w:t xml:space="preserve">Strategic Moves</w:t>
            </w:r>
          </w:p>
          <w:p>
            <w:pPr>
              <w:spacing w:after="240"/>
            </w:pPr>
            <w:r>
              <w:rPr>
                <w:rFonts w:ascii="DM Sans" w:cs="DM Sans" w:eastAsia="DM Sans" w:hAnsi="DM Sans"/>
                <w:color w:val="6B7280"/>
                <w:sz w:val="20"/>
                <w:szCs w:val="20"/>
              </w:rPr>
              <w:t xml:space="preserve">Prioritised execution direction across horizons</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[H1] Reset AI governance and decentralise ownership from the CTO function — directly counters the single-point-of-failure threat and unlocks every subsequent initiative. Without this move, nothing else on this canvas executes at the required pace.</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[H1] Deploy invoicing and intake agents to reclaim senior capacity currently lost to fragmented Salesforce data — counters the operational drag threat and frees senior consultant time for retainer growth. Estimated 15-25% senior capacity recovery.</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[H1] Reset pricing and packaging to compete on commoditised work and protect premium advisory work — counters AI-native undercutting threat directly.</w:t>
            </w:r>
          </w:p>
          <w:p>
            <w:pPr>
              <w:pBdr>
                <w:bottom w:val="single" w:color="EEEEEE" w:sz="1" w:space="4"/>
              </w:pBd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[H2] Productise the methodology as a proprietary AI-augmented advisory service line — builds the defensible moat identified in the strategic thesis and creates a revenue stream uncorrelated to consultant headcount.</w:t>
            </w:r>
          </w:p>
          <w:p>
            <w:pPr>
              <w:spacing w:after="80"/>
              <w:ind w:left="172" w:hanging="172"/>
            </w:pPr>
            <w:r>
              <w:rPr>
                <w:rFonts w:ascii="DM Sans" w:cs="DM Sans" w:eastAsia="DM Sans" w:hAnsi="DM Sans"/>
                <w:color w:val="6B7280"/>
                <w:sz w:val="24"/>
                <w:szCs w:val="24"/>
              </w:rPr>
              <w:t xml:space="preserve">• </w:t>
            </w:r>
            <w:r>
              <w:rPr>
                <w:rFonts w:ascii="DM Sans" w:cs="DM Sans" w:eastAsia="DM Sans" w:hAnsi="DM Sans"/>
                <w:color w:val="374151"/>
                <w:sz w:val="24"/>
                <w:szCs w:val="24"/>
              </w:rPr>
              <w:t xml:space="preserve">[H2] TRADE-OFF: Prioritise replacing Salesforce with a purpose-built Advisory Operations Platform over expanding the current tool stack. The opinionated platform layer is being squeezed (Three-Layer Model) — paying enterprise SaaS pricing for generic workflow when purpose-built AI alternatives now exist at a fraction of the cost is a structural mistake. Defer any net-new SaaS commitments until the Advisory Operations Platform decision is made.</w:t>
            </w:r>
          </w:p>
          <w:p>
            <w:pPr>
              <w:spacing w:after="160"/>
            </w:pPr>
          </w:p>
        </w:tc>
      </w:tr>
    </w:tbl>
    <w:p>
      <w:r>
        <w:br w:type="page"/>
      </w:r>
    </w:p>
    <w:p>
      <w:pPr>
        <w:spacing w:after="160"/>
      </w:pPr>
      <w:r>
        <w:rPr>
          <w:rFonts w:ascii="DM Sans" w:cs="DM Sans" w:eastAsia="DM Sans" w:hAnsi="DM Sans"/>
          <w:b/>
          <w:bCs/>
          <w:color w:val="0F1B2D"/>
          <w:spacing w:val="60"/>
          <w:sz w:val="20"/>
          <w:szCs w:val="20"/>
        </w:rPr>
        <w:t xml:space="preserve">DISCLAIMER AND USAGE</w:t>
      </w:r>
    </w:p>
    <w:p>
      <w:pPr>
        <w:pBdr>
          <w:bottom w:val="single" w:color="E9ECEF" w:sz="1" w:space="1"/>
        </w:pBdr>
        <w:spacing w:after="320" w:before="320"/>
      </w:pPr>
    </w:p>
    <w:p>
      <w:pPr>
        <w:spacing w:after="160"/>
      </w:pPr>
      <w:r>
        <w:rPr>
          <w:rFonts w:ascii="DM Sans" w:cs="DM Sans" w:eastAsia="DM Sans" w:hAnsi="DM Sans"/>
          <w:color w:val="374151"/>
          <w:sz w:val="24"/>
          <w:szCs w:val="24"/>
        </w:rPr>
        <w:t xml:space="preserve">This document was produced by myAIstrategy, an AI-powered strategic assessment platform operated by High Impact Group Pty Ltd (ABN 40 682 923 128). The analysis incorporates publicly available information, industry benchmarks and automated research alongside data provided directly by your organisation through guided strategy workshops, uploaded documents and advisory conversations. Where organisational data has been provided, it has been used to refine and contextualise the analysis but has not been independently verified.</w:t>
      </w:r>
    </w:p>
    <w:p>
      <w:pPr>
        <w:spacing w:after="160"/>
      </w:pPr>
      <w:r>
        <w:rPr>
          <w:rFonts w:ascii="DM Sans" w:cs="DM Sans" w:eastAsia="DM Sans" w:hAnsi="DM Sans"/>
          <w:color w:val="374151"/>
          <w:sz w:val="24"/>
          <w:szCs w:val="24"/>
        </w:rPr>
        <w:t xml:space="preserve">Financial estimates and projections in this document combine industry benchmarks with organisation-specific inputs. Where actual data has been provided, estimates carry higher confidence than those derived from industry ratios alone. All figures remain indicative and should be validated against audited financial records and internal reporting before use in business cases, board papers or investment decisions.</w:t>
      </w:r>
    </w:p>
    <w:p>
      <w:pPr>
        <w:spacing w:after="160"/>
      </w:pPr>
      <w:r>
        <w:rPr>
          <w:rFonts w:ascii="DM Sans" w:cs="DM Sans" w:eastAsia="DM Sans" w:hAnsi="DM Sans"/>
          <w:color w:val="374151"/>
          <w:sz w:val="24"/>
          <w:szCs w:val="24"/>
        </w:rPr>
        <w:t xml:space="preserve">This document does not constitute financial, legal, investment or professional advice. It is provided to support internal strategic discussion and decision-making and should be interpreted in the context of your organisation's specific circumstances, risk appetite and regulatory obligations. Independent professional advice should be sought before acting on any finding or recommendation.</w:t>
      </w:r>
    </w:p>
    <w:p>
      <w:pPr>
        <w:spacing w:after="160"/>
      </w:pPr>
      <w:r>
        <w:rPr>
          <w:rFonts w:ascii="DM Sans" w:cs="DM Sans" w:eastAsia="DM Sans" w:hAnsi="DM Sans"/>
          <w:color w:val="374151"/>
          <w:sz w:val="24"/>
          <w:szCs w:val="24"/>
        </w:rPr>
        <w:t xml:space="preserve">This document is confidential to the organisation named on the cover. It may contain commercially sensitive information derived from your organisational data. It may be shared internally with leadership, board members and advisors engaged by the organisation. It may not be reproduced, distributed or published externally without written consent from both High Impact Group Pty Ltd and the subject organisation.</w:t>
      </w:r>
    </w:p>
    <w:p>
      <w:pPr>
        <w:spacing w:after="160"/>
      </w:pPr>
      <w:r>
        <w:rPr>
          <w:rFonts w:ascii="DM Sans" w:cs="DM Sans" w:eastAsia="DM Sans" w:hAnsi="DM Sans"/>
          <w:color w:val="374151"/>
          <w:sz w:val="24"/>
          <w:szCs w:val="24"/>
        </w:rPr>
        <w:t xml:space="preserve">Your data is handled in accordance with our Privacy Policy and Terms of Service. Organisational data provided through the platform is used solely to produce deliverables for your organisation and is never used to train AI models or improve services for other customers.</w:t>
      </w:r>
    </w:p>
    <w:sectPr>
      <w:footerReference w:type="default" r:id="rId7"/>
      <w:pgSz w:w="16838" w:h="11906" w:orient="landscape"/>
      <w:pgMar w:top="863" w:right="863" w:bottom="1152" w:left="863"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9ECEF" w:sz="1" w:space="4"/>
      </w:pBdr>
      <w:tabs>
        <w:tab w:val="right" w:pos="9026"/>
      </w:tabs>
    </w:pPr>
    <w:r>
      <w:rPr>
        <w:rFonts w:ascii="DM Sans" w:cs="DM Sans" w:eastAsia="DM Sans" w:hAnsi="DM Sans"/>
        <w:color w:val="9CA3AF"/>
        <w:sz w:val="18"/>
        <w:szCs w:val="18"/>
      </w:rPr>
      <w:t xml:space="preserve">myAIstrategy AI Strategy Canvas - Northwind Advisory - Confidential</w:t>
    </w:r>
    <w:r>
      <w:rPr>
        <w:rFonts w:ascii="DM Sans" w:cs="DM Sans" w:eastAsia="DM Sans" w:hAnsi="DM Sans"/>
        <w:color w:val="9CA3AF"/>
        <w:sz w:val="18"/>
        <w:szCs w:val="18"/>
      </w:rPr>
      <w:tab/>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spacing w:before="40"/>
    </w:pPr>
    <w:r>
      <w:rPr>
        <w:rFonts w:ascii="DM Sans" w:cs="DM Sans" w:eastAsia="DM Sans" w:hAnsi="DM Sans"/>
        <w:color w:val="9CA3AF"/>
        <w:sz w:val="18"/>
        <w:szCs w:val="18"/>
      </w:rPr>
      <w:t xml:space="preserve">Generated with myAIstrategy. Start your free AI disruption scan at myaistrategy.com.au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color w:val="374151"/>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2026-05-04T06:17:48.740Z</dcterms:created>
  <dcterms:modified xsi:type="dcterms:W3CDTF">2026-05-04T06:17:48.740Z</dcterms:modified>
</cp:coreProperties>
</file>

<file path=docProps/custom.xml><?xml version="1.0" encoding="utf-8"?>
<Properties xmlns="http://schemas.openxmlformats.org/officeDocument/2006/custom-properties" xmlns:vt="http://schemas.openxmlformats.org/officeDocument/2006/docPropsVTypes"/>
</file>