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rFonts w:ascii="Instrument Serif" w:cs="Instrument Serif" w:eastAsia="Instrument Serif" w:hAnsi="Instrument Serif"/>
          <w:b/>
          <w:bCs/>
          <w:color w:val="0F1B2D"/>
          <w:sz w:val="32"/>
          <w:szCs w:val="32"/>
        </w:rPr>
        <w:t xml:space="preserve">my</w:t>
      </w:r>
      <w:r>
        <w:rPr>
          <w:rFonts w:ascii="Instrument Serif" w:cs="Instrument Serif" w:eastAsia="Instrument Serif" w:hAnsi="Instrument Serif"/>
          <w:b/>
          <w:bCs/>
          <w:color w:val="1792D5"/>
          <w:sz w:val="32"/>
          <w:szCs w:val="32"/>
        </w:rPr>
        <w:t xml:space="preserve">AI</w:t>
      </w:r>
      <w:r>
        <w:rPr>
          <w:rFonts w:ascii="Instrument Serif" w:cs="Instrument Serif" w:eastAsia="Instrument Serif" w:hAnsi="Instrument Serif"/>
          <w:b/>
          <w:bCs/>
          <w:color w:val="0F1B2D"/>
          <w:sz w:val="32"/>
          <w:szCs w:val="32"/>
        </w:rPr>
        <w:t xml:space="preserve">strategy</w:t>
      </w:r>
    </w:p>
    <w:p>
      <w:pPr>
        <w:spacing w:after="160"/>
      </w:pPr>
      <w:r>
        <w:rPr>
          <w:rFonts w:ascii="DM Sans" w:cs="DM Sans" w:eastAsia="DM Sans" w:hAnsi="DM Sans"/>
          <w:color w:val="9CA3AF"/>
          <w:sz w:val="18"/>
          <w:szCs w:val="18"/>
        </w:rPr>
        <w:t xml:space="preserve">High Impact Group Pty Ltd  |  ABN 40 682 923 128</w:t>
      </w:r>
    </w:p>
    <w:p>
      <w:pPr>
        <w:pBdr>
          <w:bottom w:val="single" w:color="E9ECEF" w:sz="1" w:space="1"/>
        </w:pBdr>
        <w:spacing w:after="320" w:before="320"/>
      </w:pPr>
    </w:p>
    <w:p>
      <w:pPr>
        <w:spacing w:after="400"/>
      </w:pPr>
    </w:p>
    <w:p>
      <w:pPr>
        <w:spacing w:after="480"/>
      </w:pPr>
      <w:r>
        <w:rPr>
          <w:rFonts w:ascii="DM Sans" w:cs="DM Sans" w:eastAsia="DM Sans" w:hAnsi="DM Sans"/>
          <w:color w:val="374151"/>
          <w:sz w:val="24"/>
          <w:szCs w:val="24"/>
        </w:rPr>
        <w:t xml:space="preserve">4 May 2026</w:t>
      </w:r>
    </w:p>
    <w:p>
      <w:pPr>
        <w:spacing w:after="80"/>
      </w:pPr>
      <w:r>
        <w:rPr>
          <w:rFonts w:ascii="DM Sans" w:cs="DM Sans" w:eastAsia="DM Sans" w:hAnsi="DM Sans"/>
          <w:color w:val="374151"/>
          <w:sz w:val="24"/>
          <w:szCs w:val="24"/>
        </w:rPr>
        <w:t xml:space="preserve">To the leadership team</w:t>
      </w:r>
    </w:p>
    <w:p>
      <w:pPr>
        <w:spacing w:after="480"/>
      </w:pPr>
      <w:r>
        <w:rPr>
          <w:rFonts w:ascii="DM Sans" w:cs="DM Sans" w:eastAsia="DM Sans" w:hAnsi="DM Sans"/>
          <w:b/>
          <w:bCs/>
          <w:color w:val="1A1F2E"/>
          <w:sz w:val="24"/>
          <w:szCs w:val="24"/>
        </w:rPr>
        <w:t xml:space="preserve">Northwind Advisory</w:t>
      </w:r>
    </w:p>
    <w:p>
      <w:pPr>
        <w:spacing w:after="240"/>
      </w:pPr>
      <w:r>
        <w:rPr>
          <w:rFonts w:ascii="DM Sans" w:cs="DM Sans" w:eastAsia="DM Sans" w:hAnsi="DM Sans"/>
          <w:color w:val="374151"/>
          <w:sz w:val="24"/>
          <w:szCs w:val="24"/>
        </w:rPr>
        <w:t xml:space="preserve">Thank you for engaging myAIstrategy to assess Northwind Advisory's AI position. Over the course of this work, we examined the firm's current AI activity, governance structures, competitive position, and delivery capability, and synthesised the findings into the five Deliverables accompanying this letter. Northwind sits at an AI Disruption Score of 75/100 in the Implementing stage - active AI deployment is underway through ChatGPT Enterprise and Microsoft 365 Copilot, but the work to convert that activity into productised methodology and distributed governance remains incomplete.</w:t>
      </w:r>
    </w:p>
    <w:p>
      <w:pPr>
        <w:spacing w:after="240"/>
      </w:pPr>
      <w:r>
        <w:rPr>
          <w:rFonts w:ascii="DM Sans" w:cs="DM Sans" w:eastAsia="DM Sans" w:hAnsi="DM Sans"/>
          <w:color w:val="374151"/>
          <w:sz w:val="24"/>
          <w:szCs w:val="24"/>
        </w:rPr>
        <w:t xml:space="preserve">Three themes shape the analysis. First, AI-native advisory entrants (Velocity Consulting class) are pricing analysis work 40-60% below traditional rates and Professional Services has hit 79% AI adoption - Northwind's commoditisation curve is compressing from a three-year horizon to twelve to eighteen months. Second, AI strategy ownership concentrated within the CTO function creates a single-point bottleneck at exactly the moment AI capability iteration demands distributed decision velocity. Third, 1,500-2,000 hours of weekly cross-system data entry across Salesforce, finance and engagement reporting is consuming senior consulting capacity at the most expensive rate in the firm. The Deliverables work through each theme in full, including the evidence base and the sequencing logic.</w:t>
      </w:r>
    </w:p>
    <w:p>
      <w:pPr>
        <w:spacing w:after="240"/>
      </w:pPr>
      <w:r>
        <w:rPr>
          <w:rFonts w:ascii="DM Sans" w:cs="DM Sans" w:eastAsia="DM Sans" w:hAnsi="DM Sans"/>
          <w:color w:val="374151"/>
          <w:sz w:val="24"/>
          <w:szCs w:val="24"/>
        </w:rPr>
        <w:t xml:space="preserve">The immediate priority is AI Strategy Ownership and Governance Reset. Until governance is distributed beyond the CTO function with explicit cross-functional authority and budget, the other initiatives - including the Invoicing &amp; Quote-to-Cash Agent, the Brief Interpretation &amp; Intake Agent, and the methodology productisation that defends premium advisory revenue - will continue to compete for oxygen against in-flight engagement work. Resolving the governance question first creates the platform on which the remaining initiatives can be sequenced and resourced.</w:t>
      </w:r>
    </w:p>
    <w:p>
      <w:pPr>
        <w:spacing w:after="240"/>
      </w:pPr>
      <w:r>
        <w:rPr>
          <w:rFonts w:ascii="DM Sans" w:cs="DM Sans" w:eastAsia="DM Sans" w:hAnsi="DM Sans"/>
          <w:color w:val="374151"/>
          <w:sz w:val="24"/>
          <w:szCs w:val="24"/>
        </w:rPr>
        <w:t xml:space="preserve">I have personally reviewed and signed off on each of the five Deliverables: the AI Disruption Snapshot, AI Disruption Analysis, AI Strategy Canvas, AI Transformation Roadmap, and AI Executive Presentation. A 90-minute walkthrough is included with this engagement, and I would suggest we use it to discuss the findings, work through any questions from the leadership team, and agree the next steps and ownership for the priority initiatives.</w:t>
      </w:r>
    </w:p>
    <w:p>
      <w:pPr>
        <w:spacing w:after="240"/>
      </w:pPr>
    </w:p>
    <w:p>
      <w:pPr>
        <w:spacing w:after="640"/>
      </w:pPr>
      <w:r>
        <w:rPr>
          <w:rFonts w:ascii="DM Sans" w:cs="DM Sans" w:eastAsia="DM Sans" w:hAnsi="DM Sans"/>
          <w:color w:val="374151"/>
          <w:sz w:val="24"/>
          <w:szCs w:val="24"/>
        </w:rPr>
        <w:t xml:space="preserve">Yours sincerely,</w:t>
      </w:r>
    </w:p>
    <w:p>
      <w:pPr>
        <w:spacing w:after="800"/>
      </w:pPr>
    </w:p>
    <w:p>
      <w:pPr>
        <w:spacing w:after="80"/>
      </w:pPr>
      <w:r>
        <w:rPr>
          <w:rFonts w:ascii="Instrument Serif" w:cs="Instrument Serif" w:eastAsia="Instrument Serif" w:hAnsi="Instrument Serif"/>
          <w:b/>
          <w:bCs/>
          <w:color w:val="0F1B2D"/>
          <w:sz w:val="28"/>
          <w:szCs w:val="28"/>
        </w:rPr>
        <w:t xml:space="preserve">Chris McLaren</w:t>
      </w:r>
    </w:p>
    <w:p>
      <w:pPr>
        <w:spacing w:after="80"/>
      </w:pPr>
      <w:r>
        <w:rPr>
          <w:rFonts w:ascii="DM Sans" w:cs="DM Sans" w:eastAsia="DM Sans" w:hAnsi="DM Sans"/>
          <w:color w:val="374151"/>
          <w:sz w:val="24"/>
          <w:szCs w:val="24"/>
        </w:rPr>
        <w:t xml:space="preserve">Founder &amp; MD, myAIstrategy</w:t>
      </w:r>
    </w:p>
    <w:p>
      <w:pPr>
        <w:spacing w:after="80"/>
      </w:pPr>
      <w:r>
        <w:rPr>
          <w:rFonts w:ascii="DM Sans" w:cs="DM Sans" w:eastAsia="DM Sans" w:hAnsi="DM Sans"/>
          <w:color w:val="9CA3AF"/>
          <w:sz w:val="18"/>
          <w:szCs w:val="18"/>
        </w:rPr>
        <w:t xml:space="preserve">myaistrategy.com.au  |  chris.mclaren@highimpactgroup.com.au</w:t>
      </w:r>
    </w:p>
    <w:sectPr>
      <w:footerReference w:type="default" r:id="rId7"/>
      <w:pgSz w:w="11906" w:h="16838" w:orient="portrait"/>
      <w:pgMar w:top="1440" w:right="1440" w:bottom="1152"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9ECEF" w:sz="1" w:space="4"/>
      </w:pBdr>
      <w:tabs>
        <w:tab w:val="right" w:pos="9026"/>
      </w:tabs>
    </w:pPr>
    <w:r>
      <w:rPr>
        <w:rFonts w:ascii="DM Sans" w:cs="DM Sans" w:eastAsia="DM Sans" w:hAnsi="DM Sans"/>
        <w:color w:val="9CA3AF"/>
        <w:sz w:val="18"/>
        <w:szCs w:val="18"/>
      </w:rPr>
      <w:t xml:space="preserve">myAIstrategy - Cover Letter - Northwind Advisory - Confidential</w:t>
    </w:r>
    <w:r>
      <w:rPr>
        <w:rFonts w:ascii="DM Sans" w:cs="DM Sans" w:eastAsia="DM Sans" w:hAnsi="DM Sans"/>
        <w:color w:val="9CA3AF"/>
        <w:sz w:val="18"/>
        <w:szCs w:val="18"/>
      </w:rPr>
      <w:tab/>
      <w:t xml:space="preserve">Page </w:t>
      <w:fldChar w:fldCharType="begin"/>
      <w:instrText xml:space="preserve">PAGE</w:instrText>
      <w:fldChar w:fldCharType="separate"/>
      <w:fldChar w:fldCharType="end"/>
      <w:t xml:space="preserve"> of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2026-05-22T23:28:05.054Z</dcterms:created>
  <dcterms:modified xsi:type="dcterms:W3CDTF">2026-05-22T23:28:05.055Z</dcterms:modified>
</cp:coreProperties>
</file>

<file path=docProps/custom.xml><?xml version="1.0" encoding="utf-8"?>
<Properties xmlns="http://schemas.openxmlformats.org/officeDocument/2006/custom-properties" xmlns:vt="http://schemas.openxmlformats.org/officeDocument/2006/docPropsVTypes"/>
</file>